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rPr>
        <w:t>4</w:t>
      </w:r>
      <w:r>
        <w:rPr>
          <w:rFonts w:ascii="Arial" w:hAnsi="Arial" w:cs="Arial"/>
          <w:b/>
          <w:sz w:val="24"/>
          <w:szCs w:val="24"/>
        </w:rPr>
        <w:t>-e</w:t>
      </w:r>
      <w:r>
        <w:rPr>
          <w:rFonts w:hint="eastAsia" w:ascii="Arial" w:hAnsi="Arial" w:cs="Arial"/>
          <w:b/>
          <w:sz w:val="24"/>
          <w:szCs w:val="24"/>
        </w:rPr>
        <w:t xml:space="preserve">                               R4-2213688</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hint="eastAsia" w:ascii="Arial" w:hAnsi="Arial" w:eastAsia="MS Mincho" w:cs="Arial"/>
          <w:b/>
          <w:sz w:val="24"/>
          <w:szCs w:val="24"/>
          <w:lang w:eastAsia="en-US"/>
        </w:rPr>
        <w:t>E-meeting,</w:t>
      </w:r>
      <w:r>
        <w:rPr>
          <w:rFonts w:hint="eastAsia" w:ascii="Arial" w:hAnsi="Arial" w:cs="Arial"/>
          <w:b/>
          <w:sz w:val="24"/>
          <w:szCs w:val="24"/>
        </w:rPr>
        <w:t>15</w:t>
      </w:r>
      <w:r>
        <w:rPr>
          <w:rFonts w:hint="eastAsia" w:ascii="Arial" w:hAnsi="Arial" w:cs="Arial"/>
          <w:b/>
          <w:sz w:val="24"/>
          <w:szCs w:val="24"/>
          <w:vertAlign w:val="superscript"/>
        </w:rPr>
        <w:t>th</w:t>
      </w:r>
      <w:r>
        <w:rPr>
          <w:rFonts w:hint="eastAsia" w:ascii="Arial" w:hAnsi="Arial" w:eastAsia="MS Mincho" w:cs="Arial"/>
          <w:b/>
          <w:sz w:val="24"/>
          <w:szCs w:val="24"/>
          <w:lang w:eastAsia="en-US"/>
        </w:rPr>
        <w:t xml:space="preserve"> </w:t>
      </w:r>
      <w:r>
        <w:rPr>
          <w:rFonts w:hint="eastAsia" w:ascii="Arial" w:hAnsi="Arial" w:cs="Arial"/>
          <w:b/>
          <w:sz w:val="24"/>
          <w:szCs w:val="24"/>
        </w:rPr>
        <w:t>Aug</w:t>
      </w:r>
      <w:r>
        <w:rPr>
          <w:rFonts w:ascii="Arial" w:hAnsi="Arial" w:cs="Arial"/>
          <w:b/>
          <w:bCs/>
          <w:sz w:val="24"/>
          <w:szCs w:val="24"/>
        </w:rPr>
        <w:t xml:space="preserve"> – </w:t>
      </w:r>
      <w:r>
        <w:rPr>
          <w:rFonts w:hint="eastAsia" w:ascii="Arial" w:hAnsi="Arial" w:cs="Arial"/>
          <w:b/>
          <w:bCs/>
          <w:sz w:val="24"/>
          <w:szCs w:val="24"/>
        </w:rPr>
        <w:t>26</w:t>
      </w:r>
      <w:r>
        <w:rPr>
          <w:rFonts w:hint="eastAsia" w:ascii="Arial" w:hAnsi="Arial" w:cs="Arial"/>
          <w:b/>
          <w:bCs/>
          <w:sz w:val="24"/>
          <w:szCs w:val="24"/>
          <w:vertAlign w:val="superscript"/>
        </w:rPr>
        <w:t>th</w:t>
      </w:r>
      <w:r>
        <w:rPr>
          <w:rFonts w:ascii="Arial" w:hAnsi="Arial" w:cs="Arial"/>
          <w:b/>
          <w:bCs/>
          <w:sz w:val="24"/>
          <w:szCs w:val="24"/>
        </w:rPr>
        <w:t xml:space="preserve"> </w:t>
      </w:r>
      <w:r>
        <w:rPr>
          <w:rFonts w:hint="eastAsia" w:ascii="Arial" w:hAnsi="Arial" w:cs="Arial"/>
          <w:b/>
          <w:bCs/>
          <w:sz w:val="24"/>
          <w:szCs w:val="24"/>
        </w:rPr>
        <w:t>Aug,</w:t>
      </w:r>
      <w:r>
        <w:rPr>
          <w:rFonts w:ascii="Arial" w:hAnsi="Arial" w:eastAsia="MS Mincho" w:cs="Arial"/>
          <w:b/>
          <w:sz w:val="24"/>
          <w:szCs w:val="24"/>
          <w:lang w:eastAsia="en-US"/>
        </w:rPr>
        <w:t>20</w:t>
      </w:r>
      <w:r>
        <w:rPr>
          <w:rFonts w:hint="eastAsia" w:ascii="Arial" w:hAnsi="Arial" w:eastAsia="MS Mincho" w:cs="Arial"/>
          <w:b/>
          <w:sz w:val="24"/>
          <w:szCs w:val="24"/>
          <w:lang w:eastAsia="en-US"/>
        </w:rPr>
        <w:t>2</w:t>
      </w:r>
      <w:r>
        <w:rPr>
          <w:rFonts w:hint="eastAsia" w:ascii="Arial" w:hAnsi="Arial" w:cs="Arial"/>
          <w:b/>
          <w:sz w:val="24"/>
          <w:szCs w:val="24"/>
        </w:rPr>
        <w:t>2</w:t>
      </w:r>
    </w:p>
    <w:p>
      <w:pPr>
        <w:tabs>
          <w:tab w:val="left" w:pos="1985"/>
        </w:tabs>
        <w:spacing w:after="180"/>
        <w:ind w:left="1980" w:hanging="1980"/>
        <w:rPr>
          <w:rFonts w:hint="eastAsia" w:ascii="Arial" w:hAnsi="Arial" w:eastAsia="宋体" w:cs="Arial"/>
          <w:b/>
          <w:sz w:val="24"/>
          <w:szCs w:val="24"/>
          <w:lang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11</w:t>
      </w:r>
      <w:r>
        <w:rPr>
          <w:rFonts w:hint="eastAsia" w:ascii="Arial" w:hAnsi="Arial" w:cs="Arial"/>
          <w:b/>
          <w:sz w:val="24"/>
          <w:szCs w:val="24"/>
        </w:rPr>
        <w:t>.</w:t>
      </w:r>
      <w:r>
        <w:rPr>
          <w:rFonts w:hint="eastAsia" w:ascii="Arial" w:hAnsi="Arial" w:cs="Arial"/>
          <w:b/>
          <w:sz w:val="24"/>
          <w:szCs w:val="24"/>
          <w:lang w:val="en-US" w:eastAsia="zh-CN"/>
        </w:rPr>
        <w:t>14</w:t>
      </w:r>
      <w:r>
        <w:rPr>
          <w:rFonts w:hint="eastAsia" w:ascii="Arial" w:hAnsi="Arial" w:cs="Arial"/>
          <w:b/>
          <w:sz w:val="24"/>
          <w:szCs w:val="24"/>
        </w:rPr>
        <w:t>.</w:t>
      </w:r>
      <w:r>
        <w:rPr>
          <w:rFonts w:hint="eastAsia" w:ascii="Arial" w:hAnsi="Arial" w:cs="Arial"/>
          <w:b/>
          <w:sz w:val="24"/>
          <w:szCs w:val="24"/>
          <w:lang w:val="en-US" w:eastAsia="zh-CN"/>
        </w:rPr>
        <w:t>2</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eastAsia="MS Mincho"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 xml:space="preserve">Discussion on CA based positioning enhancement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Discussion  </w:t>
      </w:r>
    </w:p>
    <w:p>
      <w:pPr>
        <w:pStyle w:val="52"/>
        <w:tabs>
          <w:tab w:val="left" w:pos="567"/>
          <w:tab w:val="clear" w:pos="1985"/>
        </w:tabs>
        <w:adjustRightInd w:val="0"/>
        <w:ind w:left="510" w:hanging="510"/>
      </w:pPr>
      <w:r>
        <w:t>Introduction</w:t>
      </w:r>
    </w:p>
    <w:p>
      <w:pPr>
        <w:pBdr>
          <w:bottom w:val="single" w:color="auto" w:sz="4" w:space="0"/>
        </w:pBdr>
        <w:tabs>
          <w:tab w:val="left" w:pos="2127"/>
        </w:tabs>
      </w:pPr>
      <w:r>
        <w:rPr>
          <w:rFonts w:hint="eastAsia"/>
        </w:rPr>
        <w:t xml:space="preserve">In RAN#94e meeting, one study item [RP-213588] on expanded and improved NR positioning was approved as one of Rel-18 RAN package which is led by RAN1 and it was further updated in [RP-221814] during the latest RAN#96 meeting. In this SID, RAN4 is tasked to study the following use case to improve the positioning accuracy. In this contribution, we want to share initial views on the feasibility to support the intra-band CA based PRS/SRS positioning enhancement. </w:t>
      </w:r>
    </w:p>
    <w:p>
      <w:pPr>
        <w:numPr>
          <w:ilvl w:val="1"/>
          <w:numId w:val="2"/>
        </w:numPr>
      </w:pPr>
      <w:r>
        <w:rPr>
          <w:bCs/>
        </w:rPr>
        <w:t xml:space="preserve">Study solutions for accuracy improvement based on PRS/SRS bandwidth aggregation for </w:t>
      </w:r>
      <w:r>
        <w:rPr>
          <w:bCs/>
          <w:highlight w:val="cyan"/>
        </w:rPr>
        <w:t>intra-band carriers</w:t>
      </w:r>
      <w:r>
        <w:rPr>
          <w:bCs/>
        </w:rPr>
        <w:t xml:space="preserve"> considering e.g. timing errors, phase coherency, frequency errors, power imbalance, etc [RAN4]:</w:t>
      </w:r>
    </w:p>
    <w:p>
      <w:pPr>
        <w:numPr>
          <w:ilvl w:val="1"/>
          <w:numId w:val="2"/>
        </w:numPr>
        <w:rPr>
          <w:bCs/>
        </w:rPr>
      </w:pPr>
      <w:r>
        <w:rPr>
          <w:bCs/>
        </w:rPr>
        <w:t>Study solutions for accuracy improvement based on NR carrier phase measurements [RAN1, RAN4]</w:t>
      </w:r>
    </w:p>
    <w:p>
      <w:pPr>
        <w:numPr>
          <w:ilvl w:val="2"/>
          <w:numId w:val="2"/>
        </w:numPr>
        <w:rPr>
          <w:bCs/>
        </w:rPr>
      </w:pPr>
      <w:r>
        <w:rPr>
          <w:bCs/>
        </w:rPr>
        <w:t>Reference signals, physical layer measurements, physical layer procedures to enable positioning based on NR carrier phase measurements for both UE-based and UE-assisted positioning [RAN1]</w:t>
      </w:r>
    </w:p>
    <w:p>
      <w:pPr>
        <w:numPr>
          <w:ilvl w:val="2"/>
          <w:numId w:val="2"/>
        </w:numPr>
      </w:pPr>
      <w:r>
        <w:rPr>
          <w:bCs/>
        </w:rPr>
        <w:t>Focus on reuse of existing PRS and SRS, with new reference signals only considered if found necessary</w:t>
      </w:r>
      <w:r>
        <w:rPr>
          <w:rFonts w:hint="eastAsia"/>
          <w:bCs/>
        </w:rPr>
        <w:t>.</w:t>
      </w:r>
    </w:p>
    <w:p>
      <w:pPr>
        <w:pStyle w:val="52"/>
        <w:tabs>
          <w:tab w:val="left" w:pos="567"/>
          <w:tab w:val="clear" w:pos="1985"/>
        </w:tabs>
        <w:adjustRightInd w:val="0"/>
        <w:ind w:left="510" w:hanging="510"/>
        <w:rPr>
          <w:rFonts w:eastAsia="Times New Roman"/>
        </w:rPr>
      </w:pPr>
      <w:r>
        <w:rPr>
          <w:rFonts w:hint="eastAsia"/>
        </w:rPr>
        <w:t xml:space="preserve">Discussion </w:t>
      </w:r>
      <w:bookmarkStart w:id="1" w:name="OLE_LINK14"/>
      <w:bookmarkStart w:id="2" w:name="OLE_LINK13"/>
      <w:bookmarkStart w:id="3" w:name="OLE_LINK10"/>
      <w:bookmarkStart w:id="4" w:name="OLE_LINK20"/>
      <w:r>
        <w:rPr>
          <w:rFonts w:hint="eastAsia" w:eastAsia="Times New Roman"/>
        </w:rPr>
        <w:t xml:space="preserve"> </w:t>
      </w:r>
    </w:p>
    <w:p>
      <w:r>
        <w:rPr>
          <w:rFonts w:hint="eastAsia"/>
        </w:rPr>
        <w:t>As indicated in the objective for intra-band based PRS/SRS positioning enhancement, the following RF factors e.g.</w:t>
      </w:r>
      <w:r>
        <w:rPr>
          <w:bCs/>
        </w:rPr>
        <w:t>timing errors, phase coherency, frequency errors, power imbalance</w:t>
      </w:r>
      <w:r>
        <w:rPr>
          <w:rFonts w:hint="eastAsia"/>
        </w:rPr>
        <w:t xml:space="preserve"> would have the impacts on the positioning accuracy. Therefore in this contribution, we want to share some initial analysis from BS RF perspective to investigate its feasibility and its achieved performance based on the existing state of art. </w:t>
      </w:r>
    </w:p>
    <w:p>
      <w:r>
        <w:rPr>
          <w:rFonts w:hint="eastAsia"/>
        </w:rPr>
        <w:t>First of all, for intra-band scenario defined in the current NR/LTE specification, it consist of both intra-band contiguous CA case and intra-band non-contiguous CA case. In this contribution, we want to prioritize intra-band contiguous CA case for PRS/SRS based positioning enhancement firstly and further discuss the intra-band non-contiguous CA case at the later phase.</w:t>
      </w:r>
    </w:p>
    <w:p/>
    <w:p>
      <w:pPr>
        <w:outlineLvl w:val="1"/>
        <w:rPr>
          <w:rFonts w:ascii="Arial" w:hAnsi="Arial" w:cs="Arial"/>
          <w:sz w:val="28"/>
          <w:szCs w:val="28"/>
        </w:rPr>
      </w:pPr>
      <w:r>
        <w:rPr>
          <w:rFonts w:ascii="Arial" w:hAnsi="Arial" w:cs="Arial"/>
          <w:sz w:val="28"/>
          <w:szCs w:val="28"/>
        </w:rPr>
        <w:t>2.1.</w:t>
      </w:r>
      <w:r>
        <w:rPr>
          <w:rFonts w:hint="eastAsia" w:ascii="Arial" w:hAnsi="Arial" w:cs="Arial"/>
          <w:sz w:val="28"/>
          <w:szCs w:val="28"/>
        </w:rPr>
        <w:t xml:space="preserve"> RF architecture for</w:t>
      </w:r>
      <w:r>
        <w:rPr>
          <w:rFonts w:ascii="Arial" w:hAnsi="Arial" w:cs="Arial"/>
          <w:sz w:val="28"/>
          <w:szCs w:val="28"/>
        </w:rPr>
        <w:t xml:space="preserve"> </w:t>
      </w:r>
      <w:r>
        <w:rPr>
          <w:rFonts w:hint="eastAsia" w:ascii="Arial" w:hAnsi="Arial" w:cs="Arial"/>
          <w:sz w:val="28"/>
          <w:szCs w:val="28"/>
        </w:rPr>
        <w:t>I</w:t>
      </w:r>
      <w:r>
        <w:rPr>
          <w:rFonts w:ascii="Arial" w:hAnsi="Arial" w:cs="Arial"/>
          <w:sz w:val="28"/>
          <w:szCs w:val="28"/>
        </w:rPr>
        <w:t xml:space="preserve">ntra-band contiguous CA case </w:t>
      </w:r>
    </w:p>
    <w:p>
      <w:r>
        <w:rPr>
          <w:rFonts w:hint="eastAsia"/>
        </w:rPr>
        <w:t>In general for the BS hardware supporting the intra-band contiguous CA as shown in Figure 2.1-1, multiple aggregated contiguous carriers could be supported by the same Tx/Rx transceivers at BS side. In other words, physical signals generated from baseband module will go through the same IF and RF Tx/Rx chain, then the timing difference/phase coherency among candidate carriers would be mainly impacted by group delay of PA and analog filtering in different frequency ranges. In fact, these kind of group delay difference imposed on different candidate carriers within intra-band contiguous CA scenario should be quite limited.</w:t>
      </w:r>
    </w:p>
    <w:p>
      <w:r>
        <w:rPr>
          <w:rFonts w:hint="eastAsia"/>
        </w:rPr>
        <w:t xml:space="preserve">For frequency errors among multiple aggregated contiguous carriers, this should be also negligible since the sync source/PLL would be used for different contiguous carriers. </w:t>
      </w:r>
    </w:p>
    <w:p>
      <w:r>
        <w:rPr>
          <w:rFonts w:hint="eastAsia"/>
        </w:rPr>
        <w:t>For power imbalance among multiple aggregated contiguous carriers, this should be also negligible since intra-band contiguous CA scenario is always assumed as co-located scenario in which all carrier are transmitted from the same transmitter hardware or received by the same receiver hardware. Its amplitude re</w:t>
      </w:r>
      <w:r>
        <w:t>s</w:t>
      </w:r>
      <w:r>
        <w:rPr>
          <w:rFonts w:hint="eastAsia"/>
        </w:rPr>
        <w:t>ponse in the frequency domain should be limited which have negligible impacts on the positioning accuracy.</w:t>
      </w:r>
    </w:p>
    <w:p>
      <w:r>
        <w:drawing>
          <wp:inline distT="0" distB="0" distL="114300" distR="114300">
            <wp:extent cx="6186170" cy="1176655"/>
            <wp:effectExtent l="0" t="0" r="1270"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6186170" cy="1176655"/>
                    </a:xfrm>
                    <a:prstGeom prst="rect">
                      <a:avLst/>
                    </a:prstGeom>
                    <a:noFill/>
                    <a:ln>
                      <a:noFill/>
                    </a:ln>
                  </pic:spPr>
                </pic:pic>
              </a:graphicData>
            </a:graphic>
          </wp:inline>
        </w:drawing>
      </w:r>
    </w:p>
    <w:p>
      <w:pPr>
        <w:jc w:val="center"/>
      </w:pPr>
      <w:r>
        <w:rPr>
          <w:rFonts w:hint="eastAsia"/>
        </w:rPr>
        <w:t xml:space="preserve">Figure 2.1-1. </w:t>
      </w:r>
      <w:r>
        <w:t>T</w:t>
      </w:r>
      <w:r>
        <w:rPr>
          <w:rFonts w:hint="eastAsia"/>
        </w:rPr>
        <w:t>he basic diagram for AAU/RRU for NR BS</w:t>
      </w:r>
    </w:p>
    <w:p/>
    <w:p>
      <w:pPr>
        <w:rPr>
          <w:b/>
          <w:bCs/>
        </w:rPr>
      </w:pPr>
      <w:r>
        <w:rPr>
          <w:rFonts w:hint="eastAsia"/>
          <w:b/>
          <w:bCs/>
        </w:rPr>
        <w:t>Observation 1:</w:t>
      </w:r>
    </w:p>
    <w:p>
      <w:r>
        <w:rPr>
          <w:rFonts w:hint="eastAsia"/>
        </w:rPr>
        <w:t>From BS hardware supporting the intra-band contiguous CA case, timing difference/phase coherency among the aggregated contiguous carriers would be mainly impacted by group delay response of PA and analog filtering in different frequency ranges. For other error source which might impact positioning accuracy e.g.</w:t>
      </w:r>
      <w:r>
        <w:t xml:space="preserve"> </w:t>
      </w:r>
      <w:r>
        <w:rPr>
          <w:rFonts w:hint="eastAsia"/>
        </w:rPr>
        <w:t xml:space="preserve">frequency error or power imbalance, these contributing factor in intra-band contiguous CA case is negligible. </w:t>
      </w:r>
    </w:p>
    <w:p/>
    <w:p>
      <w:r>
        <w:rPr>
          <w:rFonts w:hint="eastAsia"/>
        </w:rPr>
        <w:t>From UE hardware perspective, its baseline hardware architecture should be similar as BS side. In other words, multiple aggregated contiguous carriers could be supported by the same Tx/Rx transceivers at UE side generally. Indeed it should be noted during the discussion of intra-band contiguous CA TAE requirement back to Release 15,  to define TAE requirements 260ns for FR1 and 130ns for FR2, t</w:t>
      </w:r>
      <w:r>
        <w:t>he main technical motivation for strict TAE requirements in NR would be the possibility to use a single</w:t>
      </w:r>
      <w:r>
        <w:rPr>
          <w:rFonts w:hint="eastAsia"/>
        </w:rPr>
        <w:t xml:space="preserve"> RF/</w:t>
      </w:r>
      <w:r>
        <w:t>FFT</w:t>
      </w:r>
      <w:r>
        <w:rPr>
          <w:rFonts w:hint="eastAsia"/>
        </w:rPr>
        <w:t>/baseband</w:t>
      </w:r>
      <w:r>
        <w:t xml:space="preserve"> in the UE</w:t>
      </w:r>
      <w:r>
        <w:rPr>
          <w:rFonts w:hint="eastAsia"/>
        </w:rPr>
        <w:t xml:space="preserve"> Rx receiver which is</w:t>
      </w:r>
      <w:r>
        <w:t xml:space="preserve"> Option A in Figure 6.5.3.2.2-2</w:t>
      </w:r>
      <w:r>
        <w:rPr>
          <w:rFonts w:hint="eastAsia"/>
        </w:rPr>
        <w:t xml:space="preserve"> of TR38.817-02. However it should be known that this is just the minimum RF requirements for the reception of intra-band contiguous CA carrier where the orthogonality among component carriers should be assured, indeed its achieved timing alignment errors among different carriers could be much better than the specified minimum requirement as its dominant factors impacting the timing alignment error is mainly coming from group delay difference of PA and analog filtering.</w:t>
      </w:r>
    </w:p>
    <w:p>
      <w:r>
        <w:rPr>
          <w:rFonts w:hint="eastAsia"/>
          <w:b/>
          <w:bCs/>
        </w:rPr>
        <w:t>Observation 2:</w:t>
      </w:r>
    </w:p>
    <w:p>
      <w:r>
        <w:rPr>
          <w:rFonts w:hint="eastAsia"/>
        </w:rPr>
        <w:t>From UE hardware perspective, just similar as BS side, timing difference/phase coherency among the aggregated contiguous carriers would be mainly impacted by group delay response of PA and analog filtering in different frequency ranges. For other error source which might impact positioning accuracy e.g.</w:t>
      </w:r>
      <w:r>
        <w:t xml:space="preserve"> </w:t>
      </w:r>
      <w:r>
        <w:rPr>
          <w:rFonts w:hint="eastAsia"/>
        </w:rPr>
        <w:t xml:space="preserve">frequency error or power imbalance, these contributing factor in intra-band contiguous CA case is negligible. </w:t>
      </w:r>
    </w:p>
    <w:p/>
    <w:p>
      <w:pPr>
        <w:outlineLvl w:val="1"/>
        <w:rPr>
          <w:rFonts w:ascii="Arial" w:hAnsi="Arial" w:cs="Arial"/>
          <w:sz w:val="28"/>
          <w:szCs w:val="28"/>
        </w:rPr>
      </w:pPr>
      <w:r>
        <w:rPr>
          <w:rFonts w:ascii="Arial" w:hAnsi="Arial" w:cs="Arial"/>
          <w:sz w:val="28"/>
          <w:szCs w:val="28"/>
        </w:rPr>
        <w:t>2.</w:t>
      </w:r>
      <w:r>
        <w:rPr>
          <w:rFonts w:hint="eastAsia" w:ascii="Arial" w:hAnsi="Arial" w:cs="Arial"/>
          <w:sz w:val="28"/>
          <w:szCs w:val="28"/>
        </w:rPr>
        <w:t>2</w:t>
      </w:r>
      <w:r>
        <w:rPr>
          <w:rFonts w:ascii="Arial" w:hAnsi="Arial" w:cs="Arial"/>
          <w:sz w:val="28"/>
          <w:szCs w:val="28"/>
        </w:rPr>
        <w:t>.</w:t>
      </w:r>
      <w:r>
        <w:rPr>
          <w:rFonts w:hint="eastAsia" w:ascii="Arial" w:hAnsi="Arial" w:cs="Arial"/>
          <w:sz w:val="28"/>
          <w:szCs w:val="28"/>
        </w:rPr>
        <w:t xml:space="preserve"> Performance evaluation for intra-band contiguous CA</w:t>
      </w:r>
    </w:p>
    <w:p>
      <w:r>
        <w:t>In</w:t>
      </w:r>
      <w:r>
        <w:rPr>
          <w:rFonts w:hint="eastAsia"/>
        </w:rPr>
        <w:t xml:space="preserve"> the following section, some initial simulation results are provided for intra-band contiguous CA based positioning enhancement. Basically due to the increasing aggregated carrier bandwidth, then its positioning accuracy would be improved with certain degree, however it should be also noted that increasing timing alignment error among the contiguous aggregated carriers due to the RF imperfection, then its achievable performance under the intra-band contiguous CA case could be also jeopardized compared with single carrier case. In general, RAN4 need to study the minimum requirements to achieve the positioning accuracy improvement for intra-band contiguous CA compared with single component carrier case and its feasibility to fullfil the minimum requirements. </w:t>
      </w:r>
    </w:p>
    <w:p>
      <w:r>
        <w:rPr>
          <w:b/>
          <w:bCs/>
        </w:rPr>
        <w:t>Proposal 1:</w:t>
      </w:r>
      <w:r>
        <w:rPr>
          <w:rFonts w:hint="eastAsia"/>
          <w:b/>
          <w:bCs/>
        </w:rPr>
        <w:t xml:space="preserve"> </w:t>
      </w:r>
      <w:r>
        <w:rPr>
          <w:rFonts w:hint="eastAsia"/>
        </w:rPr>
        <w:t>RAN4 need to study the minimum requirements to achieve the positioning accuracy improvement for intra-band contiguous CA compared with single component carrier case and its feasibility to fulfill the minimum requirements</w:t>
      </w:r>
    </w:p>
    <w:p>
      <w:pPr>
        <w:outlineLvl w:val="2"/>
      </w:pPr>
      <w:r>
        <w:rPr>
          <w:rFonts w:hint="eastAsia" w:ascii="Arial" w:hAnsi="Arial" w:cs="Arial"/>
          <w:sz w:val="28"/>
          <w:szCs w:val="28"/>
        </w:rPr>
        <w:t xml:space="preserve">2.2.1 </w:t>
      </w:r>
      <w:r>
        <w:rPr>
          <w:rFonts w:ascii="Arial" w:hAnsi="Arial" w:cs="Arial"/>
          <w:sz w:val="28"/>
          <w:szCs w:val="28"/>
        </w:rPr>
        <w:t>FR1</w:t>
      </w:r>
      <w:r>
        <w:rPr>
          <w:rFonts w:hint="eastAsia" w:ascii="Arial" w:hAnsi="Arial" w:cs="Arial"/>
          <w:sz w:val="28"/>
          <w:szCs w:val="28"/>
        </w:rPr>
        <w:t xml:space="preserve"> intra-band contiguous CA</w:t>
      </w:r>
      <w:r>
        <w:rPr>
          <w:rFonts w:ascii="Arial" w:hAnsi="Arial" w:cs="Arial"/>
          <w:sz w:val="28"/>
          <w:szCs w:val="28"/>
        </w:rPr>
        <w:t xml:space="preserve"> </w:t>
      </w:r>
    </w:p>
    <w:p>
      <w:pPr>
        <w:autoSpaceDE w:val="0"/>
        <w:autoSpaceDN w:val="0"/>
        <w:adjustRightInd w:val="0"/>
        <w:snapToGrid w:val="0"/>
        <w:spacing w:before="156" w:beforeLines="50" w:after="156" w:afterLines="50"/>
        <w:rPr>
          <w:sz w:val="20"/>
          <w:szCs w:val="20"/>
        </w:rPr>
      </w:pPr>
      <w:r>
        <w:rPr>
          <w:rFonts w:hint="eastAsia"/>
          <w:sz w:val="20"/>
          <w:szCs w:val="20"/>
        </w:rPr>
        <w:t>For FR1 intra-band contiguous CA case, t</w:t>
      </w:r>
      <w:r>
        <w:rPr>
          <w:sz w:val="20"/>
          <w:szCs w:val="20"/>
        </w:rPr>
        <w:t>he simulation results are shown in the following Figure 2</w:t>
      </w:r>
      <w:r>
        <w:rPr>
          <w:rFonts w:hint="eastAsia"/>
          <w:sz w:val="20"/>
          <w:szCs w:val="20"/>
        </w:rPr>
        <w:t>.2.1-1</w:t>
      </w:r>
      <w:r>
        <w:rPr>
          <w:sz w:val="20"/>
          <w:szCs w:val="20"/>
        </w:rPr>
        <w:t xml:space="preserve"> – Figure 2</w:t>
      </w:r>
      <w:r>
        <w:rPr>
          <w:rFonts w:hint="eastAsia"/>
          <w:sz w:val="20"/>
          <w:szCs w:val="20"/>
        </w:rPr>
        <w:t>.2.1-</w:t>
      </w:r>
      <w:r>
        <w:rPr>
          <w:sz w:val="20"/>
          <w:szCs w:val="20"/>
        </w:rPr>
        <w:t>3 and</w:t>
      </w:r>
      <w:r>
        <w:rPr>
          <w:rFonts w:hint="eastAsia"/>
          <w:sz w:val="20"/>
          <w:szCs w:val="20"/>
        </w:rPr>
        <w:t xml:space="preserve"> its detailed values at different tile of CDF curve are summarized in the following</w:t>
      </w:r>
      <w:r>
        <w:rPr>
          <w:sz w:val="20"/>
          <w:szCs w:val="20"/>
        </w:rPr>
        <w:t xml:space="preserve"> Table </w:t>
      </w:r>
      <w:r>
        <w:rPr>
          <w:rFonts w:hint="eastAsia"/>
          <w:sz w:val="20"/>
          <w:szCs w:val="20"/>
        </w:rPr>
        <w:t>2.2.1-</w:t>
      </w:r>
      <w:r>
        <w:rPr>
          <w:sz w:val="20"/>
          <w:szCs w:val="20"/>
        </w:rPr>
        <w:t>1. The detailed simulation assumption can be found in Appendix. From these simulation results, it can be observed that, with the i</w:t>
      </w:r>
      <w:r>
        <w:rPr>
          <w:rFonts w:hint="eastAsia"/>
          <w:sz w:val="20"/>
          <w:szCs w:val="20"/>
        </w:rPr>
        <w:t>ncreasing</w:t>
      </w:r>
      <w:r>
        <w:rPr>
          <w:sz w:val="20"/>
          <w:szCs w:val="20"/>
        </w:rPr>
        <w:t xml:space="preserve"> timing error between two CCs (timing error is modeled</w:t>
      </w:r>
      <w:r>
        <w:rPr>
          <w:rFonts w:hint="eastAsia"/>
          <w:sz w:val="20"/>
          <w:szCs w:val="20"/>
        </w:rPr>
        <w:t xml:space="preserve"> as STD</w:t>
      </w:r>
      <w:r>
        <w:rPr>
          <w:rFonts w:hint="eastAsia"/>
          <w:sz w:val="20"/>
          <w:szCs w:val="20"/>
          <w:lang w:val="en-US" w:eastAsia="zh-CN"/>
        </w:rPr>
        <w:t xml:space="preserve"> </w:t>
      </w:r>
      <w:r>
        <w:rPr>
          <w:rFonts w:hint="eastAsia"/>
          <w:sz w:val="20"/>
          <w:szCs w:val="20"/>
        </w:rPr>
        <w:t>[</w:t>
      </w:r>
      <w:r>
        <w:rPr>
          <w:sz w:val="20"/>
          <w:szCs w:val="20"/>
        </w:rPr>
        <w:t>standard normal distribution</w:t>
      </w:r>
      <w:r>
        <w:rPr>
          <w:rFonts w:hint="eastAsia"/>
          <w:sz w:val="20"/>
          <w:szCs w:val="20"/>
        </w:rPr>
        <w:t>]</w:t>
      </w:r>
      <w:r>
        <w:rPr>
          <w:sz w:val="20"/>
          <w:szCs w:val="20"/>
        </w:rPr>
        <w:t xml:space="preserve">), </w:t>
      </w:r>
      <w:r>
        <w:rPr>
          <w:rFonts w:hint="eastAsia"/>
          <w:sz w:val="20"/>
          <w:szCs w:val="20"/>
        </w:rPr>
        <w:t>the positioning accuracy would decrease correspondingly</w:t>
      </w:r>
      <w:r>
        <w:rPr>
          <w:sz w:val="20"/>
          <w:szCs w:val="20"/>
        </w:rPr>
        <w:t>. For the case of 50MHz+50MHz (InF_SH), as in the Figure 2</w:t>
      </w:r>
      <w:r>
        <w:rPr>
          <w:rFonts w:hint="eastAsia"/>
          <w:sz w:val="20"/>
          <w:szCs w:val="20"/>
        </w:rPr>
        <w:t>.2.1-1</w:t>
      </w:r>
      <w:r>
        <w:rPr>
          <w:sz w:val="20"/>
          <w:szCs w:val="20"/>
        </w:rPr>
        <w:t xml:space="preserve"> below, when the</w:t>
      </w:r>
      <w:r>
        <w:rPr>
          <w:rFonts w:hint="eastAsia"/>
          <w:sz w:val="20"/>
          <w:szCs w:val="20"/>
        </w:rPr>
        <w:t xml:space="preserve"> relative</w:t>
      </w:r>
      <w:r>
        <w:rPr>
          <w:sz w:val="20"/>
          <w:szCs w:val="20"/>
        </w:rPr>
        <w:t xml:space="preserve"> timing</w:t>
      </w:r>
      <w:r>
        <w:rPr>
          <w:rFonts w:hint="eastAsia"/>
          <w:sz w:val="20"/>
          <w:szCs w:val="20"/>
        </w:rPr>
        <w:t xml:space="preserve"> alignment</w:t>
      </w:r>
      <w:r>
        <w:rPr>
          <w:sz w:val="20"/>
          <w:szCs w:val="20"/>
        </w:rPr>
        <w:t xml:space="preserve"> error </w:t>
      </w:r>
      <w:r>
        <w:rPr>
          <w:rFonts w:hint="eastAsia"/>
          <w:sz w:val="20"/>
          <w:szCs w:val="20"/>
        </w:rPr>
        <w:t>exceeds</w:t>
      </w:r>
      <w:r>
        <w:rPr>
          <w:sz w:val="20"/>
          <w:szCs w:val="20"/>
        </w:rPr>
        <w:t xml:space="preserve"> 4ns, then the positioning accuracy of </w:t>
      </w:r>
      <w:r>
        <w:rPr>
          <w:rFonts w:hint="eastAsia"/>
          <w:sz w:val="20"/>
          <w:szCs w:val="20"/>
        </w:rPr>
        <w:t>intra-band contiguous CA</w:t>
      </w:r>
      <w:r>
        <w:rPr>
          <w:sz w:val="20"/>
          <w:szCs w:val="20"/>
        </w:rPr>
        <w:t xml:space="preserve"> </w:t>
      </w:r>
      <w:r>
        <w:rPr>
          <w:rFonts w:hint="eastAsia"/>
          <w:sz w:val="20"/>
          <w:szCs w:val="20"/>
        </w:rPr>
        <w:t>would be</w:t>
      </w:r>
      <w:r>
        <w:rPr>
          <w:sz w:val="20"/>
          <w:szCs w:val="20"/>
        </w:rPr>
        <w:t xml:space="preserve"> </w:t>
      </w:r>
      <w:r>
        <w:rPr>
          <w:rFonts w:hint="eastAsia"/>
          <w:sz w:val="20"/>
          <w:szCs w:val="20"/>
        </w:rPr>
        <w:t>worse</w:t>
      </w:r>
      <w:r>
        <w:rPr>
          <w:sz w:val="20"/>
          <w:szCs w:val="20"/>
        </w:rPr>
        <w:t xml:space="preserve"> than that of single</w:t>
      </w:r>
      <w:r>
        <w:rPr>
          <w:rFonts w:hint="eastAsia"/>
          <w:sz w:val="20"/>
          <w:szCs w:val="20"/>
        </w:rPr>
        <w:t xml:space="preserve"> carrier</w:t>
      </w:r>
      <w:r>
        <w:rPr>
          <w:sz w:val="20"/>
          <w:szCs w:val="20"/>
        </w:rPr>
        <w:t>. For the case of 100MHz+100MHz (InF_SH), as in the Figure 2</w:t>
      </w:r>
      <w:r>
        <w:rPr>
          <w:rFonts w:hint="eastAsia"/>
          <w:sz w:val="20"/>
          <w:szCs w:val="20"/>
        </w:rPr>
        <w:t>.2.1-2</w:t>
      </w:r>
      <w:r>
        <w:rPr>
          <w:sz w:val="20"/>
          <w:szCs w:val="20"/>
        </w:rPr>
        <w:t xml:space="preserve"> below, when the </w:t>
      </w:r>
      <w:r>
        <w:rPr>
          <w:rFonts w:hint="eastAsia"/>
          <w:sz w:val="20"/>
          <w:szCs w:val="20"/>
        </w:rPr>
        <w:t xml:space="preserve">relative </w:t>
      </w:r>
      <w:r>
        <w:rPr>
          <w:sz w:val="20"/>
          <w:szCs w:val="20"/>
        </w:rPr>
        <w:t xml:space="preserve">timing </w:t>
      </w:r>
      <w:r>
        <w:rPr>
          <w:rFonts w:hint="eastAsia"/>
          <w:sz w:val="20"/>
          <w:szCs w:val="20"/>
        </w:rPr>
        <w:t xml:space="preserve">alignment </w:t>
      </w:r>
      <w:r>
        <w:rPr>
          <w:sz w:val="20"/>
          <w:szCs w:val="20"/>
        </w:rPr>
        <w:t xml:space="preserve">error </w:t>
      </w:r>
      <w:r>
        <w:rPr>
          <w:rFonts w:hint="eastAsia"/>
          <w:sz w:val="20"/>
          <w:szCs w:val="20"/>
        </w:rPr>
        <w:t>exceeds</w:t>
      </w:r>
      <w:r>
        <w:rPr>
          <w:sz w:val="20"/>
          <w:szCs w:val="20"/>
        </w:rPr>
        <w:t xml:space="preserve"> 2ns, then the positioning accuracy of </w:t>
      </w:r>
      <w:r>
        <w:rPr>
          <w:rFonts w:hint="eastAsia"/>
          <w:sz w:val="20"/>
          <w:szCs w:val="20"/>
        </w:rPr>
        <w:t>intra-band contiguous CA</w:t>
      </w:r>
      <w:r>
        <w:rPr>
          <w:sz w:val="20"/>
          <w:szCs w:val="20"/>
        </w:rPr>
        <w:t xml:space="preserve"> is </w:t>
      </w:r>
      <w:r>
        <w:rPr>
          <w:rFonts w:hint="eastAsia"/>
          <w:sz w:val="20"/>
          <w:szCs w:val="20"/>
        </w:rPr>
        <w:t>worse</w:t>
      </w:r>
      <w:r>
        <w:rPr>
          <w:sz w:val="20"/>
          <w:szCs w:val="20"/>
        </w:rPr>
        <w:t xml:space="preserve"> than that of single </w:t>
      </w:r>
      <w:r>
        <w:rPr>
          <w:rFonts w:hint="eastAsia"/>
          <w:sz w:val="20"/>
          <w:szCs w:val="20"/>
        </w:rPr>
        <w:t xml:space="preserve">carrier </w:t>
      </w:r>
      <w:r>
        <w:rPr>
          <w:sz w:val="20"/>
          <w:szCs w:val="20"/>
        </w:rPr>
        <w:t xml:space="preserve">(100MHz). </w:t>
      </w:r>
    </w:p>
    <w:p>
      <w:pPr>
        <w:snapToGrid w:val="0"/>
        <w:rPr>
          <w:sz w:val="20"/>
          <w:szCs w:val="20"/>
        </w:rPr>
      </w:pPr>
    </w:p>
    <w:p>
      <w:pPr>
        <w:jc w:val="center"/>
        <w:rPr>
          <w:sz w:val="20"/>
          <w:szCs w:val="20"/>
        </w:rPr>
      </w:pPr>
      <w:r>
        <w:drawing>
          <wp:inline distT="0" distB="0" distL="0" distR="0">
            <wp:extent cx="3611245" cy="27051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609960" cy="2704208"/>
                    </a:xfrm>
                    <a:prstGeom prst="rect">
                      <a:avLst/>
                    </a:prstGeom>
                    <a:noFill/>
                    <a:ln>
                      <a:noFill/>
                    </a:ln>
                  </pic:spPr>
                </pic:pic>
              </a:graphicData>
            </a:graphic>
          </wp:inline>
        </w:drawing>
      </w:r>
    </w:p>
    <w:p>
      <w:pPr>
        <w:snapToGrid w:val="0"/>
        <w:jc w:val="center"/>
      </w:pPr>
      <w:r>
        <w:rPr>
          <w:sz w:val="20"/>
          <w:szCs w:val="20"/>
        </w:rPr>
        <w:t>Figure 2</w:t>
      </w:r>
      <w:r>
        <w:rPr>
          <w:rFonts w:hint="eastAsia"/>
          <w:sz w:val="20"/>
          <w:szCs w:val="20"/>
        </w:rPr>
        <w:t>.2.1-1</w:t>
      </w:r>
      <w:r>
        <w:rPr>
          <w:sz w:val="20"/>
          <w:szCs w:val="20"/>
        </w:rPr>
        <w:t xml:space="preserve"> </w:t>
      </w:r>
      <w:r>
        <w:rPr>
          <w:rFonts w:hint="eastAsia"/>
          <w:sz w:val="20"/>
          <w:szCs w:val="20"/>
        </w:rPr>
        <w:t xml:space="preserve">. </w:t>
      </w:r>
      <w:r>
        <w:rPr>
          <w:sz w:val="20"/>
          <w:szCs w:val="20"/>
        </w:rPr>
        <w:t xml:space="preserve">Simulation results </w:t>
      </w:r>
      <w:r>
        <w:rPr>
          <w:rFonts w:hint="eastAsia"/>
          <w:sz w:val="20"/>
          <w:szCs w:val="20"/>
        </w:rPr>
        <w:t xml:space="preserve">for </w:t>
      </w:r>
      <w:r>
        <w:rPr>
          <w:sz w:val="20"/>
          <w:szCs w:val="20"/>
        </w:rPr>
        <w:t>50MHz+50MHz</w:t>
      </w:r>
      <w:r>
        <w:rPr>
          <w:rFonts w:hint="eastAsia"/>
          <w:sz w:val="20"/>
          <w:szCs w:val="20"/>
        </w:rPr>
        <w:t xml:space="preserve"> carrier aggregation</w:t>
      </w:r>
      <w:r>
        <w:rPr>
          <w:sz w:val="20"/>
          <w:szCs w:val="20"/>
        </w:rPr>
        <w:t xml:space="preserve"> (InF_SH)</w:t>
      </w:r>
    </w:p>
    <w:p>
      <w:pPr>
        <w:snapToGrid w:val="0"/>
        <w:jc w:val="center"/>
      </w:pPr>
      <w:r>
        <w:drawing>
          <wp:inline distT="0" distB="0" distL="0" distR="0">
            <wp:extent cx="4481195" cy="336042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481562" cy="3360901"/>
                    </a:xfrm>
                    <a:prstGeom prst="rect">
                      <a:avLst/>
                    </a:prstGeom>
                    <a:noFill/>
                    <a:ln>
                      <a:noFill/>
                    </a:ln>
                  </pic:spPr>
                </pic:pic>
              </a:graphicData>
            </a:graphic>
          </wp:inline>
        </w:drawing>
      </w:r>
    </w:p>
    <w:p>
      <w:pPr>
        <w:snapToGrid w:val="0"/>
        <w:jc w:val="center"/>
        <w:rPr>
          <w:sz w:val="20"/>
          <w:szCs w:val="20"/>
        </w:rPr>
      </w:pPr>
      <w:r>
        <w:rPr>
          <w:sz w:val="20"/>
          <w:szCs w:val="20"/>
        </w:rPr>
        <w:t>Figure 2</w:t>
      </w:r>
      <w:r>
        <w:rPr>
          <w:rFonts w:hint="eastAsia"/>
          <w:sz w:val="20"/>
          <w:szCs w:val="20"/>
        </w:rPr>
        <w:t>.2.1-2</w:t>
      </w:r>
      <w:r>
        <w:rPr>
          <w:sz w:val="20"/>
          <w:szCs w:val="20"/>
        </w:rPr>
        <w:t xml:space="preserve"> </w:t>
      </w:r>
      <w:r>
        <w:rPr>
          <w:rFonts w:hint="eastAsia"/>
          <w:sz w:val="20"/>
          <w:szCs w:val="20"/>
        </w:rPr>
        <w:t xml:space="preserve">. </w:t>
      </w:r>
      <w:r>
        <w:rPr>
          <w:sz w:val="20"/>
          <w:szCs w:val="20"/>
        </w:rPr>
        <w:t xml:space="preserve">Simulation results </w:t>
      </w:r>
      <w:r>
        <w:rPr>
          <w:rFonts w:hint="eastAsia"/>
          <w:sz w:val="20"/>
          <w:szCs w:val="20"/>
        </w:rPr>
        <w:t>for</w:t>
      </w:r>
      <w:r>
        <w:rPr>
          <w:sz w:val="20"/>
          <w:szCs w:val="20"/>
        </w:rPr>
        <w:t xml:space="preserve"> 100MHz+60MHz</w:t>
      </w:r>
      <w:r>
        <w:rPr>
          <w:rFonts w:hint="eastAsia"/>
          <w:sz w:val="20"/>
          <w:szCs w:val="20"/>
        </w:rPr>
        <w:t xml:space="preserve"> carrier aggregation</w:t>
      </w:r>
      <w:r>
        <w:rPr>
          <w:sz w:val="20"/>
          <w:szCs w:val="20"/>
        </w:rPr>
        <w:t xml:space="preserve"> (InF_SH)</w:t>
      </w:r>
    </w:p>
    <w:p>
      <w:pPr>
        <w:snapToGrid w:val="0"/>
        <w:jc w:val="center"/>
        <w:rPr>
          <w:sz w:val="20"/>
          <w:szCs w:val="20"/>
        </w:rPr>
      </w:pPr>
    </w:p>
    <w:p>
      <w:pPr>
        <w:snapToGrid w:val="0"/>
        <w:jc w:val="center"/>
        <w:rPr>
          <w:sz w:val="20"/>
          <w:szCs w:val="20"/>
        </w:rPr>
      </w:pPr>
      <w:r>
        <w:drawing>
          <wp:inline distT="0" distB="0" distL="0" distR="0">
            <wp:extent cx="4525645" cy="3390265"/>
            <wp:effectExtent l="0" t="0" r="0"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525958" cy="3390380"/>
                    </a:xfrm>
                    <a:prstGeom prst="rect">
                      <a:avLst/>
                    </a:prstGeom>
                    <a:noFill/>
                    <a:ln>
                      <a:noFill/>
                    </a:ln>
                  </pic:spPr>
                </pic:pic>
              </a:graphicData>
            </a:graphic>
          </wp:inline>
        </w:drawing>
      </w:r>
    </w:p>
    <w:p>
      <w:pPr>
        <w:snapToGrid w:val="0"/>
        <w:jc w:val="center"/>
        <w:rPr>
          <w:sz w:val="20"/>
          <w:szCs w:val="20"/>
        </w:rPr>
      </w:pPr>
      <w:r>
        <w:rPr>
          <w:sz w:val="20"/>
          <w:szCs w:val="20"/>
        </w:rPr>
        <w:t>Figure 2</w:t>
      </w:r>
      <w:r>
        <w:rPr>
          <w:rFonts w:hint="eastAsia"/>
          <w:sz w:val="20"/>
          <w:szCs w:val="20"/>
        </w:rPr>
        <w:t>.2.1-</w:t>
      </w:r>
      <w:r>
        <w:rPr>
          <w:sz w:val="20"/>
          <w:szCs w:val="20"/>
        </w:rPr>
        <w:t xml:space="preserve">3 </w:t>
      </w:r>
      <w:r>
        <w:rPr>
          <w:rFonts w:hint="eastAsia"/>
          <w:sz w:val="20"/>
          <w:szCs w:val="20"/>
        </w:rPr>
        <w:t xml:space="preserve">. </w:t>
      </w:r>
      <w:r>
        <w:rPr>
          <w:sz w:val="20"/>
          <w:szCs w:val="20"/>
        </w:rPr>
        <w:t xml:space="preserve">Simulation results </w:t>
      </w:r>
      <w:r>
        <w:rPr>
          <w:rFonts w:hint="eastAsia"/>
          <w:sz w:val="20"/>
          <w:szCs w:val="20"/>
        </w:rPr>
        <w:t>for</w:t>
      </w:r>
      <w:r>
        <w:rPr>
          <w:sz w:val="20"/>
          <w:szCs w:val="20"/>
        </w:rPr>
        <w:t xml:space="preserve"> 100MHz+100MHz</w:t>
      </w:r>
      <w:r>
        <w:rPr>
          <w:rFonts w:hint="eastAsia"/>
          <w:sz w:val="20"/>
          <w:szCs w:val="20"/>
        </w:rPr>
        <w:t xml:space="preserve"> carrier aggregation</w:t>
      </w:r>
      <w:r>
        <w:rPr>
          <w:sz w:val="20"/>
          <w:szCs w:val="20"/>
        </w:rPr>
        <w:t xml:space="preserve"> (InF_SH)</w:t>
      </w:r>
    </w:p>
    <w:p>
      <w:pPr>
        <w:snapToGrid w:val="0"/>
        <w:jc w:val="center"/>
        <w:rPr>
          <w:sz w:val="20"/>
          <w:szCs w:val="20"/>
        </w:rPr>
      </w:pPr>
    </w:p>
    <w:p>
      <w:pPr>
        <w:snapToGrid w:val="0"/>
        <w:spacing w:before="156" w:beforeLines="50" w:after="156" w:afterLines="50"/>
        <w:jc w:val="center"/>
        <w:rPr>
          <w:sz w:val="20"/>
          <w:szCs w:val="20"/>
        </w:rPr>
      </w:pPr>
      <w:r>
        <w:rPr>
          <w:sz w:val="20"/>
          <w:szCs w:val="20"/>
        </w:rPr>
        <w:t xml:space="preserve">Table </w:t>
      </w:r>
      <w:r>
        <w:rPr>
          <w:rFonts w:hint="eastAsia"/>
          <w:sz w:val="20"/>
          <w:szCs w:val="20"/>
        </w:rPr>
        <w:t>2.2.1-</w:t>
      </w:r>
      <w:r>
        <w:rPr>
          <w:sz w:val="20"/>
          <w:szCs w:val="20"/>
        </w:rPr>
        <w:t>1</w:t>
      </w:r>
      <w:r>
        <w:rPr>
          <w:rFonts w:hint="eastAsia"/>
          <w:sz w:val="20"/>
          <w:szCs w:val="20"/>
        </w:rPr>
        <w:t>. Summary of</w:t>
      </w:r>
      <w:r>
        <w:rPr>
          <w:sz w:val="20"/>
          <w:szCs w:val="20"/>
        </w:rPr>
        <w:t xml:space="preserve"> </w:t>
      </w:r>
      <w:r>
        <w:rPr>
          <w:rFonts w:hint="eastAsia"/>
          <w:sz w:val="20"/>
          <w:szCs w:val="20"/>
        </w:rPr>
        <w:t>p</w:t>
      </w:r>
      <w:r>
        <w:rPr>
          <w:sz w:val="20"/>
          <w:szCs w:val="20"/>
        </w:rPr>
        <w:t xml:space="preserve">ositioning accuracy </w:t>
      </w:r>
      <w:r>
        <w:rPr>
          <w:rFonts w:hint="eastAsia"/>
          <w:sz w:val="20"/>
          <w:szCs w:val="20"/>
        </w:rPr>
        <w:t>in</w:t>
      </w:r>
      <w:r>
        <w:rPr>
          <w:sz w:val="20"/>
          <w:szCs w:val="20"/>
        </w:rPr>
        <w:t xml:space="preserve"> Figure 2</w:t>
      </w:r>
      <w:r>
        <w:rPr>
          <w:rFonts w:hint="eastAsia"/>
          <w:sz w:val="20"/>
          <w:szCs w:val="20"/>
        </w:rPr>
        <w:t>.2.1-1</w:t>
      </w:r>
      <w:r>
        <w:rPr>
          <w:sz w:val="20"/>
          <w:szCs w:val="20"/>
        </w:rPr>
        <w:t xml:space="preserve"> and Figure 2</w:t>
      </w:r>
      <w:r>
        <w:rPr>
          <w:rFonts w:hint="eastAsia"/>
          <w:sz w:val="20"/>
          <w:szCs w:val="20"/>
        </w:rPr>
        <w:t>.2.1-2</w:t>
      </w:r>
    </w:p>
    <w:tbl>
      <w:tblPr>
        <w:tblStyle w:val="2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09"/>
        <w:gridCol w:w="1677"/>
        <w:gridCol w:w="1669"/>
        <w:gridCol w:w="1669"/>
        <w:gridCol w:w="1376"/>
        <w:gridCol w:w="13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Pr>
          <w:p>
            <w:pPr>
              <w:snapToGrid w:val="0"/>
              <w:spacing w:before="156" w:beforeLines="50" w:after="156" w:afterLines="50"/>
              <w:jc w:val="center"/>
              <w:rPr>
                <w:sz w:val="20"/>
                <w:szCs w:val="20"/>
              </w:rPr>
            </w:pPr>
          </w:p>
        </w:tc>
        <w:tc>
          <w:tcPr>
            <w:tcW w:w="1677" w:type="dxa"/>
          </w:tcPr>
          <w:p>
            <w:pPr>
              <w:snapToGrid w:val="0"/>
              <w:spacing w:before="156" w:beforeLines="50" w:after="156" w:afterLines="50"/>
              <w:jc w:val="center"/>
              <w:rPr>
                <w:sz w:val="20"/>
                <w:szCs w:val="20"/>
              </w:rPr>
            </w:pPr>
          </w:p>
        </w:tc>
        <w:tc>
          <w:tcPr>
            <w:tcW w:w="6090" w:type="dxa"/>
            <w:gridSpan w:val="4"/>
          </w:tcPr>
          <w:p>
            <w:pPr>
              <w:snapToGrid w:val="0"/>
              <w:spacing w:before="156" w:beforeLines="50" w:after="156" w:afterLines="50"/>
              <w:jc w:val="center"/>
              <w:rPr>
                <w:sz w:val="20"/>
                <w:szCs w:val="20"/>
              </w:rPr>
            </w:pPr>
            <w:r>
              <w:rPr>
                <w:sz w:val="20"/>
                <w:szCs w:val="20"/>
              </w:rPr>
              <w:t>Position Accuracy (m)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Pr>
          <w:p>
            <w:pPr>
              <w:snapToGrid w:val="0"/>
              <w:spacing w:before="156" w:beforeLines="50" w:after="156" w:afterLines="50"/>
              <w:jc w:val="center"/>
              <w:rPr>
                <w:sz w:val="20"/>
                <w:szCs w:val="20"/>
              </w:rPr>
            </w:pPr>
            <w:r>
              <w:rPr>
                <w:sz w:val="20"/>
                <w:szCs w:val="20"/>
              </w:rPr>
              <w:t>Case</w:t>
            </w:r>
          </w:p>
        </w:tc>
        <w:tc>
          <w:tcPr>
            <w:tcW w:w="1677" w:type="dxa"/>
          </w:tcPr>
          <w:p>
            <w:pPr>
              <w:snapToGrid w:val="0"/>
              <w:spacing w:before="156" w:beforeLines="50" w:after="156" w:afterLines="50"/>
              <w:jc w:val="center"/>
              <w:rPr>
                <w:sz w:val="20"/>
                <w:szCs w:val="20"/>
              </w:rPr>
            </w:pPr>
            <w:r>
              <w:rPr>
                <w:sz w:val="20"/>
                <w:szCs w:val="20"/>
              </w:rPr>
              <w:t>Delay (ns)</w:t>
            </w:r>
          </w:p>
        </w:tc>
        <w:tc>
          <w:tcPr>
            <w:tcW w:w="1669" w:type="dxa"/>
          </w:tcPr>
          <w:p>
            <w:pPr>
              <w:snapToGrid w:val="0"/>
              <w:spacing w:before="156" w:beforeLines="50" w:after="156" w:afterLines="50"/>
              <w:jc w:val="center"/>
              <w:rPr>
                <w:sz w:val="20"/>
                <w:szCs w:val="20"/>
              </w:rPr>
            </w:pPr>
            <w:r>
              <w:rPr>
                <w:sz w:val="20"/>
                <w:szCs w:val="20"/>
              </w:rPr>
              <w:t>CDF=50%</w:t>
            </w:r>
          </w:p>
        </w:tc>
        <w:tc>
          <w:tcPr>
            <w:tcW w:w="1669" w:type="dxa"/>
          </w:tcPr>
          <w:p>
            <w:pPr>
              <w:snapToGrid w:val="0"/>
              <w:spacing w:before="156" w:beforeLines="50" w:after="156" w:afterLines="50"/>
              <w:jc w:val="center"/>
              <w:rPr>
                <w:sz w:val="20"/>
                <w:szCs w:val="20"/>
              </w:rPr>
            </w:pPr>
            <w:r>
              <w:rPr>
                <w:sz w:val="20"/>
                <w:szCs w:val="20"/>
              </w:rPr>
              <w:t>CDF=67%</w:t>
            </w:r>
          </w:p>
        </w:tc>
        <w:tc>
          <w:tcPr>
            <w:tcW w:w="1376" w:type="dxa"/>
          </w:tcPr>
          <w:p>
            <w:pPr>
              <w:snapToGrid w:val="0"/>
              <w:spacing w:before="156" w:beforeLines="50" w:after="156" w:afterLines="50"/>
              <w:jc w:val="center"/>
              <w:rPr>
                <w:sz w:val="20"/>
                <w:szCs w:val="20"/>
              </w:rPr>
            </w:pPr>
            <w:r>
              <w:rPr>
                <w:sz w:val="20"/>
                <w:szCs w:val="20"/>
              </w:rPr>
              <w:t>CDF=80%</w:t>
            </w:r>
          </w:p>
        </w:tc>
        <w:tc>
          <w:tcPr>
            <w:tcW w:w="1376" w:type="dxa"/>
          </w:tcPr>
          <w:p>
            <w:pPr>
              <w:snapToGrid w:val="0"/>
              <w:spacing w:before="156" w:beforeLines="50" w:after="156" w:afterLines="50"/>
              <w:jc w:val="center"/>
              <w:rPr>
                <w:sz w:val="20"/>
                <w:szCs w:val="20"/>
              </w:rPr>
            </w:pPr>
            <w:r>
              <w:rPr>
                <w:sz w:val="20"/>
                <w:szCs w:val="20"/>
              </w:rPr>
              <w:t>CDF=90%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8" w:hRule="atLeast"/>
        </w:trPr>
        <w:tc>
          <w:tcPr>
            <w:tcW w:w="1809" w:type="dxa"/>
            <w:vMerge w:val="restart"/>
          </w:tcPr>
          <w:p>
            <w:pPr>
              <w:snapToGrid w:val="0"/>
              <w:spacing w:before="156" w:beforeLines="50" w:after="156" w:afterLines="50"/>
              <w:rPr>
                <w:sz w:val="20"/>
                <w:szCs w:val="20"/>
              </w:rPr>
            </w:pPr>
            <w:r>
              <w:rPr>
                <w:sz w:val="20"/>
                <w:szCs w:val="20"/>
              </w:rPr>
              <w:t>50MHz+50MHz (InF_SH)</w:t>
            </w:r>
          </w:p>
        </w:tc>
        <w:tc>
          <w:tcPr>
            <w:tcW w:w="1677" w:type="dxa"/>
            <w:tcBorders>
              <w:bottom w:val="single" w:color="auto" w:sz="4" w:space="0"/>
            </w:tcBorders>
          </w:tcPr>
          <w:p>
            <w:pPr>
              <w:snapToGrid w:val="0"/>
              <w:spacing w:before="156" w:beforeLines="50" w:after="156" w:afterLines="50"/>
              <w:jc w:val="center"/>
              <w:rPr>
                <w:sz w:val="20"/>
                <w:szCs w:val="20"/>
              </w:rPr>
            </w:pPr>
            <w:r>
              <w:rPr>
                <w:sz w:val="20"/>
                <w:szCs w:val="20"/>
              </w:rPr>
              <w:t>0</w:t>
            </w:r>
          </w:p>
        </w:tc>
        <w:tc>
          <w:tcPr>
            <w:tcW w:w="1669" w:type="dxa"/>
            <w:tcBorders>
              <w:bottom w:val="single" w:color="auto" w:sz="4" w:space="0"/>
            </w:tcBorders>
          </w:tcPr>
          <w:p>
            <w:pPr>
              <w:snapToGrid w:val="0"/>
              <w:spacing w:before="156" w:beforeLines="50" w:after="156" w:afterLines="50"/>
              <w:jc w:val="center"/>
              <w:rPr>
                <w:sz w:val="20"/>
                <w:szCs w:val="20"/>
              </w:rPr>
            </w:pPr>
            <w:r>
              <w:rPr>
                <w:sz w:val="20"/>
                <w:szCs w:val="20"/>
              </w:rPr>
              <w:t>0.22</w:t>
            </w:r>
          </w:p>
        </w:tc>
        <w:tc>
          <w:tcPr>
            <w:tcW w:w="1669" w:type="dxa"/>
            <w:tcBorders>
              <w:bottom w:val="single" w:color="auto" w:sz="4" w:space="0"/>
            </w:tcBorders>
          </w:tcPr>
          <w:p>
            <w:pPr>
              <w:snapToGrid w:val="0"/>
              <w:spacing w:before="156" w:beforeLines="50" w:after="156" w:afterLines="50"/>
              <w:jc w:val="center"/>
              <w:rPr>
                <w:sz w:val="20"/>
                <w:szCs w:val="20"/>
              </w:rPr>
            </w:pPr>
            <w:r>
              <w:rPr>
                <w:sz w:val="20"/>
                <w:szCs w:val="20"/>
              </w:rPr>
              <w:t>0.29</w:t>
            </w:r>
          </w:p>
        </w:tc>
        <w:tc>
          <w:tcPr>
            <w:tcW w:w="1376" w:type="dxa"/>
            <w:tcBorders>
              <w:bottom w:val="single" w:color="auto" w:sz="4" w:space="0"/>
            </w:tcBorders>
          </w:tcPr>
          <w:p>
            <w:pPr>
              <w:snapToGrid w:val="0"/>
              <w:spacing w:before="156" w:beforeLines="50" w:after="156" w:afterLines="50"/>
              <w:jc w:val="center"/>
              <w:rPr>
                <w:sz w:val="20"/>
                <w:szCs w:val="20"/>
              </w:rPr>
            </w:pPr>
            <w:r>
              <w:rPr>
                <w:sz w:val="20"/>
                <w:szCs w:val="20"/>
              </w:rPr>
              <w:t>0.36</w:t>
            </w:r>
          </w:p>
        </w:tc>
        <w:tc>
          <w:tcPr>
            <w:tcW w:w="1376" w:type="dxa"/>
            <w:tcBorders>
              <w:bottom w:val="single" w:color="auto" w:sz="4" w:space="0"/>
            </w:tcBorders>
          </w:tcPr>
          <w:p>
            <w:pPr>
              <w:snapToGrid w:val="0"/>
              <w:spacing w:before="156" w:beforeLines="50" w:after="156" w:afterLines="50"/>
              <w:jc w:val="center"/>
              <w:rPr>
                <w:sz w:val="20"/>
                <w:szCs w:val="20"/>
              </w:rPr>
            </w:pPr>
            <w:r>
              <w:rPr>
                <w:sz w:val="20"/>
                <w:szCs w:val="20"/>
              </w:rPr>
              <w:t>0.49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5"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1</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0.25</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0.33</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0.43</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0.54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7"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2</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0.33</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0.47</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0.63</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3"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3</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0.47</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0.73</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0.89</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1.26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bottom w:val="single" w:color="auto" w:sz="4" w:space="0"/>
            </w:tcBorders>
            <w:shd w:val="clear" w:color="auto" w:fill="FFC000"/>
          </w:tcPr>
          <w:p>
            <w:pPr>
              <w:snapToGrid w:val="0"/>
              <w:spacing w:before="156" w:beforeLines="50" w:after="156" w:afterLines="50"/>
              <w:jc w:val="center"/>
              <w:rPr>
                <w:sz w:val="20"/>
                <w:szCs w:val="20"/>
                <w:lang w:val="en-GB" w:eastAsia="en-US"/>
              </w:rPr>
            </w:pPr>
            <w:r>
              <w:rPr>
                <w:sz w:val="20"/>
                <w:szCs w:val="20"/>
              </w:rPr>
              <w:t>4</w:t>
            </w:r>
          </w:p>
        </w:tc>
        <w:tc>
          <w:tcPr>
            <w:tcW w:w="1669" w:type="dxa"/>
            <w:tcBorders>
              <w:top w:val="single" w:color="auto" w:sz="4" w:space="0"/>
              <w:bottom w:val="single" w:color="auto" w:sz="4" w:space="0"/>
            </w:tcBorders>
            <w:shd w:val="clear" w:color="auto" w:fill="FFC000"/>
          </w:tcPr>
          <w:p>
            <w:pPr>
              <w:snapToGrid w:val="0"/>
              <w:spacing w:before="156" w:beforeLines="50" w:after="156" w:afterLines="50"/>
              <w:jc w:val="center"/>
              <w:rPr>
                <w:sz w:val="20"/>
                <w:szCs w:val="20"/>
                <w:lang w:val="en-GB" w:eastAsia="en-US"/>
              </w:rPr>
            </w:pPr>
            <w:r>
              <w:rPr>
                <w:sz w:val="20"/>
                <w:szCs w:val="20"/>
              </w:rPr>
              <w:t>0.57</w:t>
            </w:r>
          </w:p>
        </w:tc>
        <w:tc>
          <w:tcPr>
            <w:tcW w:w="1669" w:type="dxa"/>
            <w:tcBorders>
              <w:top w:val="single" w:color="auto" w:sz="4" w:space="0"/>
              <w:bottom w:val="single" w:color="auto" w:sz="4" w:space="0"/>
            </w:tcBorders>
            <w:shd w:val="clear" w:color="auto" w:fill="FFC000"/>
          </w:tcPr>
          <w:p>
            <w:pPr>
              <w:snapToGrid w:val="0"/>
              <w:spacing w:before="156" w:beforeLines="50" w:after="156" w:afterLines="50"/>
              <w:jc w:val="center"/>
              <w:rPr>
                <w:sz w:val="20"/>
                <w:szCs w:val="20"/>
                <w:lang w:val="en-GB" w:eastAsia="en-US"/>
              </w:rPr>
            </w:pPr>
            <w:r>
              <w:rPr>
                <w:sz w:val="20"/>
                <w:szCs w:val="20"/>
              </w:rPr>
              <w:t>0.85</w:t>
            </w:r>
          </w:p>
        </w:tc>
        <w:tc>
          <w:tcPr>
            <w:tcW w:w="1376" w:type="dxa"/>
            <w:tcBorders>
              <w:top w:val="single" w:color="auto" w:sz="4" w:space="0"/>
              <w:bottom w:val="single" w:color="auto" w:sz="4" w:space="0"/>
            </w:tcBorders>
            <w:shd w:val="clear" w:color="auto" w:fill="FFC000"/>
          </w:tcPr>
          <w:p>
            <w:pPr>
              <w:snapToGrid w:val="0"/>
              <w:spacing w:before="156" w:beforeLines="50" w:after="156" w:afterLines="50"/>
              <w:jc w:val="center"/>
              <w:rPr>
                <w:sz w:val="20"/>
                <w:szCs w:val="20"/>
                <w:lang w:val="en-GB" w:eastAsia="en-US"/>
              </w:rPr>
            </w:pPr>
            <w:r>
              <w:rPr>
                <w:sz w:val="20"/>
                <w:szCs w:val="20"/>
              </w:rPr>
              <w:t>1.13</w:t>
            </w:r>
          </w:p>
        </w:tc>
        <w:tc>
          <w:tcPr>
            <w:tcW w:w="1376" w:type="dxa"/>
            <w:tcBorders>
              <w:top w:val="single" w:color="auto" w:sz="4" w:space="0"/>
              <w:bottom w:val="single" w:color="auto" w:sz="4" w:space="0"/>
            </w:tcBorders>
            <w:shd w:val="clear" w:color="auto" w:fill="FFC000"/>
          </w:tcPr>
          <w:p>
            <w:pPr>
              <w:snapToGrid w:val="0"/>
              <w:spacing w:before="156" w:beforeLines="50" w:after="156" w:afterLines="50"/>
              <w:jc w:val="center"/>
              <w:rPr>
                <w:sz w:val="20"/>
                <w:szCs w:val="20"/>
                <w:lang w:val="en-GB" w:eastAsia="en-US"/>
              </w:rPr>
            </w:pPr>
            <w:r>
              <w:rPr>
                <w:sz w:val="20"/>
                <w:szCs w:val="20"/>
              </w:rPr>
              <w:t>1.48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8"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bottom w:val="single" w:color="auto" w:sz="4" w:space="0"/>
            </w:tcBorders>
            <w:shd w:val="clear" w:color="auto" w:fill="auto"/>
          </w:tcPr>
          <w:p>
            <w:pPr>
              <w:snapToGrid w:val="0"/>
              <w:spacing w:before="156" w:beforeLines="50" w:after="156" w:afterLines="50"/>
              <w:jc w:val="center"/>
              <w:rPr>
                <w:sz w:val="20"/>
                <w:szCs w:val="20"/>
                <w:lang w:val="en-GB" w:eastAsia="en-US"/>
              </w:rPr>
            </w:pPr>
            <w:r>
              <w:rPr>
                <w:sz w:val="20"/>
                <w:szCs w:val="20"/>
              </w:rPr>
              <w:t>5</w:t>
            </w:r>
          </w:p>
        </w:tc>
        <w:tc>
          <w:tcPr>
            <w:tcW w:w="1669" w:type="dxa"/>
            <w:tcBorders>
              <w:top w:val="single" w:color="auto" w:sz="4" w:space="0"/>
              <w:bottom w:val="single" w:color="auto" w:sz="4" w:space="0"/>
            </w:tcBorders>
            <w:shd w:val="clear" w:color="auto" w:fill="auto"/>
          </w:tcPr>
          <w:p>
            <w:pPr>
              <w:snapToGrid w:val="0"/>
              <w:spacing w:before="156" w:beforeLines="50" w:after="156" w:afterLines="50"/>
              <w:jc w:val="center"/>
              <w:rPr>
                <w:sz w:val="20"/>
                <w:szCs w:val="20"/>
                <w:lang w:val="en-GB" w:eastAsia="en-US"/>
              </w:rPr>
            </w:pPr>
            <w:r>
              <w:rPr>
                <w:sz w:val="20"/>
                <w:szCs w:val="20"/>
              </w:rPr>
              <w:t>0.75</w:t>
            </w:r>
          </w:p>
        </w:tc>
        <w:tc>
          <w:tcPr>
            <w:tcW w:w="1669" w:type="dxa"/>
            <w:tcBorders>
              <w:top w:val="single" w:color="auto" w:sz="4" w:space="0"/>
              <w:bottom w:val="single" w:color="auto" w:sz="4" w:space="0"/>
            </w:tcBorders>
            <w:shd w:val="clear" w:color="auto" w:fill="auto"/>
          </w:tcPr>
          <w:p>
            <w:pPr>
              <w:snapToGrid w:val="0"/>
              <w:spacing w:before="156" w:beforeLines="50" w:after="156" w:afterLines="50"/>
              <w:jc w:val="center"/>
              <w:rPr>
                <w:sz w:val="20"/>
                <w:szCs w:val="20"/>
                <w:lang w:val="en-GB" w:eastAsia="en-US"/>
              </w:rPr>
            </w:pPr>
            <w:r>
              <w:rPr>
                <w:sz w:val="20"/>
                <w:szCs w:val="20"/>
              </w:rPr>
              <w:t>1.03</w:t>
            </w:r>
          </w:p>
        </w:tc>
        <w:tc>
          <w:tcPr>
            <w:tcW w:w="1376" w:type="dxa"/>
            <w:tcBorders>
              <w:top w:val="single" w:color="auto" w:sz="4" w:space="0"/>
              <w:bottom w:val="single" w:color="auto" w:sz="4" w:space="0"/>
            </w:tcBorders>
            <w:shd w:val="clear" w:color="auto" w:fill="auto"/>
          </w:tcPr>
          <w:p>
            <w:pPr>
              <w:snapToGrid w:val="0"/>
              <w:spacing w:before="156" w:beforeLines="50" w:after="156" w:afterLines="50"/>
              <w:jc w:val="center"/>
              <w:rPr>
                <w:sz w:val="20"/>
                <w:szCs w:val="20"/>
                <w:lang w:val="en-GB" w:eastAsia="en-US"/>
              </w:rPr>
            </w:pPr>
            <w:r>
              <w:rPr>
                <w:sz w:val="20"/>
                <w:szCs w:val="20"/>
              </w:rPr>
              <w:t>1.52</w:t>
            </w:r>
          </w:p>
        </w:tc>
        <w:tc>
          <w:tcPr>
            <w:tcW w:w="1376" w:type="dxa"/>
            <w:tcBorders>
              <w:top w:val="single" w:color="auto" w:sz="4" w:space="0"/>
              <w:bottom w:val="single" w:color="auto" w:sz="4" w:space="0"/>
            </w:tcBorders>
            <w:shd w:val="clear" w:color="auto" w:fill="auto"/>
          </w:tcPr>
          <w:p>
            <w:pPr>
              <w:snapToGrid w:val="0"/>
              <w:spacing w:before="156" w:beforeLines="50" w:after="156" w:afterLines="50"/>
              <w:jc w:val="center"/>
              <w:rPr>
                <w:sz w:val="20"/>
                <w:szCs w:val="20"/>
                <w:lang w:val="en-GB" w:eastAsia="en-US"/>
              </w:rPr>
            </w:pPr>
            <w:r>
              <w:rPr>
                <w:sz w:val="20"/>
                <w:szCs w:val="20"/>
              </w:rPr>
              <w:t>2.21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6"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6</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0.90</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1.27</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2.02</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2.87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tcBorders>
            <w:shd w:val="clear" w:color="auto" w:fill="92D050"/>
          </w:tcPr>
          <w:p>
            <w:pPr>
              <w:snapToGrid w:val="0"/>
              <w:spacing w:before="156" w:beforeLines="50" w:after="156" w:afterLines="50"/>
              <w:jc w:val="center"/>
              <w:rPr>
                <w:sz w:val="20"/>
                <w:szCs w:val="20"/>
                <w:lang w:val="en-GB" w:eastAsia="en-US"/>
              </w:rPr>
            </w:pPr>
            <w:r>
              <w:rPr>
                <w:sz w:val="20"/>
                <w:szCs w:val="20"/>
              </w:rPr>
              <w:t>Single FL (50MHz)</w:t>
            </w:r>
          </w:p>
        </w:tc>
        <w:tc>
          <w:tcPr>
            <w:tcW w:w="1669" w:type="dxa"/>
            <w:tcBorders>
              <w:top w:val="single" w:color="auto" w:sz="4" w:space="0"/>
            </w:tcBorders>
            <w:shd w:val="clear" w:color="auto" w:fill="92D050"/>
          </w:tcPr>
          <w:p>
            <w:pPr>
              <w:snapToGrid w:val="0"/>
              <w:spacing w:before="156" w:beforeLines="50" w:after="156" w:afterLines="50"/>
              <w:jc w:val="center"/>
              <w:rPr>
                <w:sz w:val="20"/>
                <w:szCs w:val="20"/>
                <w:lang w:val="en-GB" w:eastAsia="en-US"/>
              </w:rPr>
            </w:pPr>
            <w:r>
              <w:rPr>
                <w:sz w:val="20"/>
                <w:szCs w:val="20"/>
              </w:rPr>
              <w:t>0.55</w:t>
            </w:r>
          </w:p>
        </w:tc>
        <w:tc>
          <w:tcPr>
            <w:tcW w:w="1669" w:type="dxa"/>
            <w:tcBorders>
              <w:top w:val="single" w:color="auto" w:sz="4" w:space="0"/>
            </w:tcBorders>
            <w:shd w:val="clear" w:color="auto" w:fill="92D050"/>
          </w:tcPr>
          <w:p>
            <w:pPr>
              <w:snapToGrid w:val="0"/>
              <w:spacing w:before="156" w:beforeLines="50" w:after="156" w:afterLines="50"/>
              <w:jc w:val="center"/>
              <w:rPr>
                <w:sz w:val="20"/>
                <w:szCs w:val="20"/>
                <w:lang w:val="en-GB" w:eastAsia="en-US"/>
              </w:rPr>
            </w:pPr>
            <w:r>
              <w:rPr>
                <w:sz w:val="20"/>
                <w:szCs w:val="20"/>
              </w:rPr>
              <w:t>0.75</w:t>
            </w:r>
          </w:p>
        </w:tc>
        <w:tc>
          <w:tcPr>
            <w:tcW w:w="1376" w:type="dxa"/>
            <w:tcBorders>
              <w:top w:val="single" w:color="auto" w:sz="4" w:space="0"/>
            </w:tcBorders>
            <w:shd w:val="clear" w:color="auto" w:fill="92D050"/>
          </w:tcPr>
          <w:p>
            <w:pPr>
              <w:snapToGrid w:val="0"/>
              <w:spacing w:before="156" w:beforeLines="50" w:after="156" w:afterLines="50"/>
              <w:jc w:val="center"/>
              <w:rPr>
                <w:sz w:val="20"/>
                <w:szCs w:val="20"/>
                <w:lang w:val="en-GB" w:eastAsia="en-US"/>
              </w:rPr>
            </w:pPr>
            <w:r>
              <w:rPr>
                <w:sz w:val="20"/>
                <w:szCs w:val="20"/>
              </w:rPr>
              <w:t>0.95</w:t>
            </w:r>
          </w:p>
        </w:tc>
        <w:tc>
          <w:tcPr>
            <w:tcW w:w="1376" w:type="dxa"/>
            <w:tcBorders>
              <w:top w:val="single" w:color="auto" w:sz="4" w:space="0"/>
            </w:tcBorders>
            <w:shd w:val="clear" w:color="auto" w:fill="92D050"/>
          </w:tcPr>
          <w:p>
            <w:pPr>
              <w:snapToGrid w:val="0"/>
              <w:spacing w:before="156" w:beforeLines="50" w:after="156" w:afterLines="50"/>
              <w:jc w:val="center"/>
              <w:rPr>
                <w:sz w:val="20"/>
                <w:szCs w:val="20"/>
                <w:lang w:val="en-GB" w:eastAsia="en-US"/>
              </w:rPr>
            </w:pPr>
            <w:r>
              <w:rPr>
                <w:sz w:val="20"/>
                <w:szCs w:val="20"/>
              </w:rPr>
              <w:t>1.46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restart"/>
          </w:tcPr>
          <w:p>
            <w:pPr>
              <w:snapToGrid w:val="0"/>
              <w:spacing w:before="156" w:beforeLines="50" w:after="156" w:afterLines="50"/>
              <w:rPr>
                <w:sz w:val="20"/>
                <w:szCs w:val="20"/>
              </w:rPr>
            </w:pPr>
            <w:r>
              <w:rPr>
                <w:sz w:val="20"/>
                <w:szCs w:val="20"/>
              </w:rPr>
              <w:t>100MHz+60MHz (InF_SH)</w:t>
            </w:r>
          </w:p>
        </w:tc>
        <w:tc>
          <w:tcPr>
            <w:tcW w:w="1677"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0.112</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0.145</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0.184</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0.230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1</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0.182</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0.247</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0.318</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2</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0.337</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0.466</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0.585</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0.733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Single FL (100MHz)</w:t>
            </w:r>
          </w:p>
        </w:tc>
        <w:tc>
          <w:tcPr>
            <w:tcW w:w="1669"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0.217</w:t>
            </w:r>
          </w:p>
        </w:tc>
        <w:tc>
          <w:tcPr>
            <w:tcW w:w="1669"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0.267</w:t>
            </w:r>
          </w:p>
        </w:tc>
        <w:tc>
          <w:tcPr>
            <w:tcW w:w="1376"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0.329</w:t>
            </w:r>
          </w:p>
        </w:tc>
        <w:tc>
          <w:tcPr>
            <w:tcW w:w="1376"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0.421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7" w:hRule="atLeast"/>
        </w:trPr>
        <w:tc>
          <w:tcPr>
            <w:tcW w:w="1809" w:type="dxa"/>
            <w:vMerge w:val="restart"/>
          </w:tcPr>
          <w:p>
            <w:pPr>
              <w:snapToGrid w:val="0"/>
              <w:spacing w:before="156" w:beforeLines="50" w:after="156" w:afterLines="50"/>
              <w:rPr>
                <w:sz w:val="20"/>
                <w:szCs w:val="20"/>
              </w:rPr>
            </w:pPr>
            <w:r>
              <w:rPr>
                <w:sz w:val="20"/>
                <w:szCs w:val="20"/>
              </w:rPr>
              <w:t>100MHz+100MHz (InF_SH)</w:t>
            </w:r>
          </w:p>
        </w:tc>
        <w:tc>
          <w:tcPr>
            <w:tcW w:w="1677" w:type="dxa"/>
            <w:tcBorders>
              <w:bottom w:val="single" w:color="auto" w:sz="4" w:space="0"/>
            </w:tcBorders>
          </w:tcPr>
          <w:p>
            <w:pPr>
              <w:snapToGrid w:val="0"/>
              <w:spacing w:before="156" w:beforeLines="50" w:after="156" w:afterLines="50"/>
              <w:jc w:val="center"/>
              <w:rPr>
                <w:sz w:val="20"/>
                <w:szCs w:val="20"/>
              </w:rPr>
            </w:pPr>
            <w:r>
              <w:rPr>
                <w:sz w:val="20"/>
                <w:szCs w:val="20"/>
              </w:rPr>
              <w:t>0</w:t>
            </w:r>
          </w:p>
        </w:tc>
        <w:tc>
          <w:tcPr>
            <w:tcW w:w="1669" w:type="dxa"/>
            <w:tcBorders>
              <w:bottom w:val="single" w:color="auto" w:sz="4" w:space="0"/>
            </w:tcBorders>
          </w:tcPr>
          <w:p>
            <w:pPr>
              <w:snapToGrid w:val="0"/>
              <w:spacing w:before="156" w:beforeLines="50" w:after="156" w:afterLines="50"/>
              <w:jc w:val="center"/>
              <w:rPr>
                <w:sz w:val="20"/>
                <w:szCs w:val="20"/>
              </w:rPr>
            </w:pPr>
            <w:r>
              <w:rPr>
                <w:sz w:val="20"/>
                <w:szCs w:val="20"/>
              </w:rPr>
              <w:t>0.09</w:t>
            </w:r>
            <w:r>
              <w:rPr>
                <w:rFonts w:hint="eastAsia"/>
                <w:sz w:val="20"/>
                <w:szCs w:val="20"/>
              </w:rPr>
              <w:t>1</w:t>
            </w:r>
          </w:p>
        </w:tc>
        <w:tc>
          <w:tcPr>
            <w:tcW w:w="1669" w:type="dxa"/>
            <w:tcBorders>
              <w:bottom w:val="single" w:color="auto" w:sz="4" w:space="0"/>
            </w:tcBorders>
          </w:tcPr>
          <w:p>
            <w:pPr>
              <w:snapToGrid w:val="0"/>
              <w:spacing w:before="156" w:beforeLines="50" w:after="156" w:afterLines="50"/>
              <w:jc w:val="center"/>
              <w:rPr>
                <w:sz w:val="20"/>
                <w:szCs w:val="20"/>
              </w:rPr>
            </w:pPr>
            <w:r>
              <w:rPr>
                <w:sz w:val="20"/>
                <w:szCs w:val="20"/>
              </w:rPr>
              <w:t>0.</w:t>
            </w:r>
            <w:r>
              <w:rPr>
                <w:rFonts w:hint="eastAsia"/>
                <w:sz w:val="20"/>
                <w:szCs w:val="20"/>
              </w:rPr>
              <w:t>126</w:t>
            </w:r>
          </w:p>
        </w:tc>
        <w:tc>
          <w:tcPr>
            <w:tcW w:w="1376" w:type="dxa"/>
            <w:tcBorders>
              <w:bottom w:val="single" w:color="auto" w:sz="4" w:space="0"/>
            </w:tcBorders>
          </w:tcPr>
          <w:p>
            <w:pPr>
              <w:snapToGrid w:val="0"/>
              <w:spacing w:before="156" w:beforeLines="50" w:after="156" w:afterLines="50"/>
              <w:jc w:val="center"/>
              <w:rPr>
                <w:sz w:val="20"/>
                <w:szCs w:val="20"/>
              </w:rPr>
            </w:pPr>
            <w:r>
              <w:rPr>
                <w:sz w:val="20"/>
                <w:szCs w:val="20"/>
              </w:rPr>
              <w:t>0.1</w:t>
            </w:r>
            <w:r>
              <w:rPr>
                <w:rFonts w:hint="eastAsia"/>
                <w:sz w:val="20"/>
                <w:szCs w:val="20"/>
              </w:rPr>
              <w:t>46</w:t>
            </w:r>
          </w:p>
        </w:tc>
        <w:tc>
          <w:tcPr>
            <w:tcW w:w="1376" w:type="dxa"/>
            <w:tcBorders>
              <w:bottom w:val="single" w:color="auto" w:sz="4" w:space="0"/>
            </w:tcBorders>
          </w:tcPr>
          <w:p>
            <w:pPr>
              <w:snapToGrid w:val="0"/>
              <w:spacing w:before="156" w:beforeLines="50" w:after="156" w:afterLines="50"/>
              <w:jc w:val="center"/>
              <w:rPr>
                <w:sz w:val="20"/>
                <w:szCs w:val="20"/>
              </w:rPr>
            </w:pPr>
            <w:r>
              <w:rPr>
                <w:sz w:val="20"/>
                <w:szCs w:val="20"/>
              </w:rPr>
              <w:t>0.18</w:t>
            </w:r>
            <w:r>
              <w:rPr>
                <w:rFonts w:hint="eastAsia"/>
                <w:sz w:val="20"/>
                <w:szCs w:val="20"/>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3"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bottom w:val="single" w:color="auto" w:sz="4" w:space="0"/>
            </w:tcBorders>
            <w:shd w:val="clear" w:color="auto" w:fill="FABF8F" w:themeFill="accent6" w:themeFillTint="99"/>
          </w:tcPr>
          <w:p>
            <w:pPr>
              <w:snapToGrid w:val="0"/>
              <w:spacing w:before="156" w:beforeLines="50" w:after="156" w:afterLines="50"/>
              <w:jc w:val="center"/>
              <w:rPr>
                <w:sz w:val="20"/>
                <w:szCs w:val="20"/>
                <w:lang w:val="en-GB" w:eastAsia="en-US"/>
              </w:rPr>
            </w:pPr>
            <w:r>
              <w:rPr>
                <w:sz w:val="20"/>
                <w:szCs w:val="20"/>
              </w:rPr>
              <w:t>1</w:t>
            </w:r>
          </w:p>
        </w:tc>
        <w:tc>
          <w:tcPr>
            <w:tcW w:w="1669" w:type="dxa"/>
            <w:tcBorders>
              <w:top w:val="single" w:color="auto" w:sz="4" w:space="0"/>
              <w:bottom w:val="single" w:color="auto" w:sz="4" w:space="0"/>
            </w:tcBorders>
            <w:shd w:val="clear" w:color="auto" w:fill="FABF8F" w:themeFill="accent6" w:themeFillTint="99"/>
          </w:tcPr>
          <w:p>
            <w:pPr>
              <w:snapToGrid w:val="0"/>
              <w:spacing w:before="156" w:beforeLines="50" w:after="156" w:afterLines="50"/>
              <w:jc w:val="center"/>
              <w:rPr>
                <w:sz w:val="20"/>
                <w:szCs w:val="20"/>
                <w:lang w:val="en-GB" w:eastAsia="en-US"/>
              </w:rPr>
            </w:pPr>
            <w:r>
              <w:rPr>
                <w:sz w:val="20"/>
                <w:szCs w:val="20"/>
              </w:rPr>
              <w:t>0.139</w:t>
            </w:r>
          </w:p>
        </w:tc>
        <w:tc>
          <w:tcPr>
            <w:tcW w:w="1669" w:type="dxa"/>
            <w:tcBorders>
              <w:top w:val="single" w:color="auto" w:sz="4" w:space="0"/>
              <w:bottom w:val="single" w:color="auto" w:sz="4" w:space="0"/>
            </w:tcBorders>
            <w:shd w:val="clear" w:color="auto" w:fill="FABF8F" w:themeFill="accent6" w:themeFillTint="99"/>
          </w:tcPr>
          <w:p>
            <w:pPr>
              <w:snapToGrid w:val="0"/>
              <w:spacing w:before="156" w:beforeLines="50" w:after="156" w:afterLines="50"/>
              <w:jc w:val="center"/>
              <w:rPr>
                <w:sz w:val="20"/>
                <w:szCs w:val="20"/>
                <w:lang w:val="en-GB" w:eastAsia="en-US"/>
              </w:rPr>
            </w:pPr>
            <w:r>
              <w:rPr>
                <w:sz w:val="20"/>
                <w:szCs w:val="20"/>
              </w:rPr>
              <w:t>0.192</w:t>
            </w:r>
          </w:p>
        </w:tc>
        <w:tc>
          <w:tcPr>
            <w:tcW w:w="1376" w:type="dxa"/>
            <w:tcBorders>
              <w:top w:val="single" w:color="auto" w:sz="4" w:space="0"/>
              <w:bottom w:val="single" w:color="auto" w:sz="4" w:space="0"/>
            </w:tcBorders>
            <w:shd w:val="clear" w:color="auto" w:fill="FABF8F" w:themeFill="accent6" w:themeFillTint="99"/>
          </w:tcPr>
          <w:p>
            <w:pPr>
              <w:snapToGrid w:val="0"/>
              <w:spacing w:before="156" w:beforeLines="50" w:after="156" w:afterLines="50"/>
              <w:jc w:val="center"/>
              <w:rPr>
                <w:sz w:val="20"/>
                <w:szCs w:val="20"/>
                <w:lang w:val="en-GB" w:eastAsia="en-US"/>
              </w:rPr>
            </w:pPr>
            <w:r>
              <w:rPr>
                <w:sz w:val="20"/>
                <w:szCs w:val="20"/>
              </w:rPr>
              <w:t>0.246</w:t>
            </w:r>
          </w:p>
        </w:tc>
        <w:tc>
          <w:tcPr>
            <w:tcW w:w="1376" w:type="dxa"/>
            <w:tcBorders>
              <w:top w:val="single" w:color="auto" w:sz="4" w:space="0"/>
              <w:bottom w:val="single" w:color="auto" w:sz="4" w:space="0"/>
            </w:tcBorders>
            <w:shd w:val="clear" w:color="auto" w:fill="FABF8F" w:themeFill="accent6" w:themeFillTint="99"/>
          </w:tcPr>
          <w:p>
            <w:pPr>
              <w:snapToGrid w:val="0"/>
              <w:spacing w:before="156" w:beforeLines="50" w:after="156" w:afterLines="50"/>
              <w:jc w:val="center"/>
              <w:rPr>
                <w:sz w:val="20"/>
                <w:szCs w:val="20"/>
                <w:lang w:val="en-GB" w:eastAsia="en-US"/>
              </w:rPr>
            </w:pPr>
            <w:r>
              <w:rPr>
                <w:sz w:val="20"/>
                <w:szCs w:val="20"/>
              </w:rPr>
              <w:t>0.314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2</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0.245</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0.3</w:t>
            </w:r>
            <w:r>
              <w:rPr>
                <w:rFonts w:hint="eastAsia"/>
                <w:sz w:val="20"/>
                <w:szCs w:val="20"/>
              </w:rPr>
              <w:t>50</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0.4</w:t>
            </w:r>
            <w:r>
              <w:rPr>
                <w:rFonts w:hint="eastAsia"/>
                <w:sz w:val="20"/>
                <w:szCs w:val="20"/>
              </w:rPr>
              <w:t>3</w:t>
            </w:r>
            <w:r>
              <w:rPr>
                <w:sz w:val="20"/>
                <w:szCs w:val="20"/>
              </w:rPr>
              <w:t>2</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0. 6</w:t>
            </w:r>
            <w:r>
              <w:rPr>
                <w:rFonts w:hint="eastAsia"/>
                <w:sz w:val="20"/>
                <w:szCs w:val="20"/>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5"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tcBorders>
            <w:shd w:val="clear" w:color="auto" w:fill="FFFF00"/>
          </w:tcPr>
          <w:p>
            <w:pPr>
              <w:snapToGrid w:val="0"/>
              <w:spacing w:before="156" w:beforeLines="50" w:after="156" w:afterLines="50"/>
              <w:jc w:val="center"/>
              <w:rPr>
                <w:sz w:val="20"/>
                <w:szCs w:val="20"/>
                <w:lang w:val="en-GB" w:eastAsia="en-US"/>
              </w:rPr>
            </w:pPr>
            <w:r>
              <w:rPr>
                <w:sz w:val="20"/>
                <w:szCs w:val="20"/>
              </w:rPr>
              <w:t>Single FL (100MHz)</w:t>
            </w:r>
          </w:p>
        </w:tc>
        <w:tc>
          <w:tcPr>
            <w:tcW w:w="1669" w:type="dxa"/>
            <w:tcBorders>
              <w:top w:val="single" w:color="auto" w:sz="4" w:space="0"/>
            </w:tcBorders>
            <w:shd w:val="clear" w:color="auto" w:fill="FFFF00"/>
          </w:tcPr>
          <w:p>
            <w:pPr>
              <w:snapToGrid w:val="0"/>
              <w:spacing w:before="156" w:beforeLines="50" w:after="156" w:afterLines="50"/>
              <w:jc w:val="center"/>
              <w:rPr>
                <w:sz w:val="20"/>
                <w:szCs w:val="20"/>
                <w:lang w:val="en-GB" w:eastAsia="en-US"/>
              </w:rPr>
            </w:pPr>
            <w:r>
              <w:rPr>
                <w:sz w:val="20"/>
                <w:szCs w:val="20"/>
              </w:rPr>
              <w:t>0.217</w:t>
            </w:r>
          </w:p>
        </w:tc>
        <w:tc>
          <w:tcPr>
            <w:tcW w:w="1669" w:type="dxa"/>
            <w:tcBorders>
              <w:top w:val="single" w:color="auto" w:sz="4" w:space="0"/>
            </w:tcBorders>
            <w:shd w:val="clear" w:color="auto" w:fill="FFFF00"/>
          </w:tcPr>
          <w:p>
            <w:pPr>
              <w:snapToGrid w:val="0"/>
              <w:spacing w:before="156" w:beforeLines="50" w:after="156" w:afterLines="50"/>
              <w:jc w:val="center"/>
              <w:rPr>
                <w:sz w:val="20"/>
                <w:szCs w:val="20"/>
                <w:lang w:val="en-GB" w:eastAsia="en-US"/>
              </w:rPr>
            </w:pPr>
            <w:r>
              <w:rPr>
                <w:sz w:val="20"/>
                <w:szCs w:val="20"/>
              </w:rPr>
              <w:t>0.267</w:t>
            </w:r>
          </w:p>
        </w:tc>
        <w:tc>
          <w:tcPr>
            <w:tcW w:w="1376" w:type="dxa"/>
            <w:tcBorders>
              <w:top w:val="single" w:color="auto" w:sz="4" w:space="0"/>
            </w:tcBorders>
            <w:shd w:val="clear" w:color="auto" w:fill="FFFF00"/>
          </w:tcPr>
          <w:p>
            <w:pPr>
              <w:snapToGrid w:val="0"/>
              <w:spacing w:before="156" w:beforeLines="50" w:after="156" w:afterLines="50"/>
              <w:jc w:val="center"/>
              <w:rPr>
                <w:sz w:val="20"/>
                <w:szCs w:val="20"/>
                <w:lang w:val="en-GB" w:eastAsia="en-US"/>
              </w:rPr>
            </w:pPr>
            <w:r>
              <w:rPr>
                <w:sz w:val="20"/>
                <w:szCs w:val="20"/>
              </w:rPr>
              <w:t>0.329</w:t>
            </w:r>
          </w:p>
        </w:tc>
        <w:tc>
          <w:tcPr>
            <w:tcW w:w="1376" w:type="dxa"/>
            <w:tcBorders>
              <w:top w:val="single" w:color="auto" w:sz="4" w:space="0"/>
            </w:tcBorders>
            <w:shd w:val="clear" w:color="auto" w:fill="FFFF00"/>
          </w:tcPr>
          <w:p>
            <w:pPr>
              <w:snapToGrid w:val="0"/>
              <w:spacing w:before="156" w:beforeLines="50" w:after="156" w:afterLines="50"/>
              <w:jc w:val="center"/>
              <w:rPr>
                <w:sz w:val="20"/>
                <w:szCs w:val="20"/>
                <w:lang w:val="en-GB" w:eastAsia="en-US"/>
              </w:rPr>
            </w:pPr>
            <w:r>
              <w:rPr>
                <w:sz w:val="20"/>
                <w:szCs w:val="20"/>
              </w:rPr>
              <w:t>0.421</w:t>
            </w:r>
          </w:p>
        </w:tc>
      </w:tr>
    </w:tbl>
    <w:p/>
    <w:p>
      <w:pPr>
        <w:outlineLvl w:val="2"/>
        <w:rPr>
          <w:rFonts w:ascii="Arial" w:hAnsi="Arial" w:cs="Arial"/>
          <w:sz w:val="28"/>
          <w:szCs w:val="28"/>
        </w:rPr>
      </w:pPr>
      <w:r>
        <w:rPr>
          <w:rFonts w:hint="eastAsia" w:ascii="Arial" w:hAnsi="Arial" w:cs="Arial"/>
          <w:sz w:val="28"/>
          <w:szCs w:val="28"/>
        </w:rPr>
        <w:t xml:space="preserve">2.2.2 </w:t>
      </w:r>
      <w:r>
        <w:rPr>
          <w:rFonts w:ascii="Arial" w:hAnsi="Arial" w:cs="Arial"/>
          <w:sz w:val="28"/>
          <w:szCs w:val="28"/>
        </w:rPr>
        <w:t>FR</w:t>
      </w:r>
      <w:r>
        <w:rPr>
          <w:rFonts w:hint="eastAsia" w:ascii="Arial" w:hAnsi="Arial" w:cs="Arial"/>
          <w:sz w:val="28"/>
          <w:szCs w:val="28"/>
        </w:rPr>
        <w:t xml:space="preserve">2 intra-band contiguous CA </w:t>
      </w:r>
    </w:p>
    <w:p>
      <w:pPr>
        <w:autoSpaceDE w:val="0"/>
        <w:autoSpaceDN w:val="0"/>
        <w:adjustRightInd w:val="0"/>
        <w:snapToGrid w:val="0"/>
        <w:spacing w:before="156" w:beforeLines="50" w:after="156" w:afterLines="50"/>
        <w:rPr>
          <w:rFonts w:hint="default" w:eastAsia="宋体"/>
          <w:sz w:val="20"/>
          <w:szCs w:val="20"/>
          <w:lang w:val="en-US" w:eastAsia="zh-CN"/>
        </w:rPr>
      </w:pPr>
      <w:r>
        <w:rPr>
          <w:rFonts w:hint="eastAsia"/>
          <w:sz w:val="20"/>
          <w:szCs w:val="20"/>
          <w:lang w:val="en-US" w:eastAsia="zh-CN"/>
        </w:rPr>
        <w:t>For FR2 intra-band contiguous CA case, f</w:t>
      </w:r>
      <w:r>
        <w:rPr>
          <w:sz w:val="20"/>
          <w:szCs w:val="20"/>
        </w:rPr>
        <w:t xml:space="preserve">or the case of </w:t>
      </w:r>
      <w:r>
        <w:rPr>
          <w:rFonts w:hint="eastAsia"/>
          <w:sz w:val="20"/>
          <w:szCs w:val="20"/>
          <w:lang w:val="en-US" w:eastAsia="zh-CN"/>
        </w:rPr>
        <w:t>10</w:t>
      </w:r>
      <w:r>
        <w:rPr>
          <w:sz w:val="20"/>
          <w:szCs w:val="20"/>
        </w:rPr>
        <w:t>0MHz+</w:t>
      </w:r>
      <w:r>
        <w:rPr>
          <w:rFonts w:hint="eastAsia"/>
          <w:sz w:val="20"/>
          <w:szCs w:val="20"/>
          <w:lang w:val="en-US" w:eastAsia="zh-CN"/>
        </w:rPr>
        <w:t>10</w:t>
      </w:r>
      <w:r>
        <w:rPr>
          <w:sz w:val="20"/>
          <w:szCs w:val="20"/>
        </w:rPr>
        <w:t>0MHz (InF_SH), as in the Figure 2</w:t>
      </w:r>
      <w:r>
        <w:rPr>
          <w:rFonts w:hint="eastAsia"/>
          <w:sz w:val="20"/>
          <w:szCs w:val="20"/>
        </w:rPr>
        <w:t>.2.</w:t>
      </w:r>
      <w:r>
        <w:rPr>
          <w:rFonts w:hint="eastAsia"/>
          <w:sz w:val="20"/>
          <w:szCs w:val="20"/>
          <w:lang w:val="en-US" w:eastAsia="zh-CN"/>
        </w:rPr>
        <w:t>2</w:t>
      </w:r>
      <w:r>
        <w:rPr>
          <w:rFonts w:hint="eastAsia"/>
          <w:sz w:val="20"/>
          <w:szCs w:val="20"/>
        </w:rPr>
        <w:t>-1</w:t>
      </w:r>
      <w:r>
        <w:rPr>
          <w:sz w:val="20"/>
          <w:szCs w:val="20"/>
        </w:rPr>
        <w:t xml:space="preserve"> below, when the</w:t>
      </w:r>
      <w:r>
        <w:rPr>
          <w:rFonts w:hint="eastAsia"/>
          <w:sz w:val="20"/>
          <w:szCs w:val="20"/>
        </w:rPr>
        <w:t xml:space="preserve"> relative</w:t>
      </w:r>
      <w:r>
        <w:rPr>
          <w:sz w:val="20"/>
          <w:szCs w:val="20"/>
        </w:rPr>
        <w:t xml:space="preserve"> timing</w:t>
      </w:r>
      <w:r>
        <w:rPr>
          <w:rFonts w:hint="eastAsia"/>
          <w:sz w:val="20"/>
          <w:szCs w:val="20"/>
        </w:rPr>
        <w:t xml:space="preserve"> alignment</w:t>
      </w:r>
      <w:r>
        <w:rPr>
          <w:sz w:val="20"/>
          <w:szCs w:val="20"/>
        </w:rPr>
        <w:t xml:space="preserve"> error </w:t>
      </w:r>
      <w:r>
        <w:rPr>
          <w:rFonts w:hint="eastAsia"/>
          <w:sz w:val="20"/>
          <w:szCs w:val="20"/>
        </w:rPr>
        <w:t>exceeds</w:t>
      </w:r>
      <w:r>
        <w:rPr>
          <w:sz w:val="20"/>
          <w:szCs w:val="20"/>
        </w:rPr>
        <w:t xml:space="preserve"> </w:t>
      </w:r>
      <w:r>
        <w:rPr>
          <w:rFonts w:hint="eastAsia"/>
          <w:sz w:val="20"/>
          <w:szCs w:val="20"/>
          <w:lang w:val="en-US" w:eastAsia="zh-CN"/>
        </w:rPr>
        <w:t>2</w:t>
      </w:r>
      <w:r>
        <w:rPr>
          <w:sz w:val="20"/>
          <w:szCs w:val="20"/>
        </w:rPr>
        <w:t xml:space="preserve">ns, then the positioning accuracy of </w:t>
      </w:r>
      <w:r>
        <w:rPr>
          <w:rFonts w:hint="eastAsia"/>
          <w:sz w:val="20"/>
          <w:szCs w:val="20"/>
        </w:rPr>
        <w:t>intra-band contiguous CA</w:t>
      </w:r>
      <w:r>
        <w:rPr>
          <w:sz w:val="20"/>
          <w:szCs w:val="20"/>
        </w:rPr>
        <w:t xml:space="preserve"> </w:t>
      </w:r>
      <w:r>
        <w:rPr>
          <w:rFonts w:hint="eastAsia"/>
          <w:sz w:val="20"/>
          <w:szCs w:val="20"/>
        </w:rPr>
        <w:t>would be</w:t>
      </w:r>
      <w:r>
        <w:rPr>
          <w:sz w:val="20"/>
          <w:szCs w:val="20"/>
        </w:rPr>
        <w:t xml:space="preserve"> </w:t>
      </w:r>
      <w:r>
        <w:rPr>
          <w:rFonts w:hint="eastAsia"/>
          <w:sz w:val="20"/>
          <w:szCs w:val="20"/>
        </w:rPr>
        <w:t>worse</w:t>
      </w:r>
      <w:r>
        <w:rPr>
          <w:sz w:val="20"/>
          <w:szCs w:val="20"/>
        </w:rPr>
        <w:t xml:space="preserve"> than that of single</w:t>
      </w:r>
      <w:r>
        <w:rPr>
          <w:rFonts w:hint="eastAsia"/>
          <w:sz w:val="20"/>
          <w:szCs w:val="20"/>
        </w:rPr>
        <w:t xml:space="preserve"> carrier</w:t>
      </w:r>
      <w:r>
        <w:rPr>
          <w:rFonts w:hint="eastAsia"/>
          <w:sz w:val="20"/>
          <w:szCs w:val="20"/>
          <w:lang w:val="en-US" w:eastAsia="zh-CN"/>
        </w:rPr>
        <w:t xml:space="preserve"> similar as FR1 observation.</w:t>
      </w:r>
    </w:p>
    <w:p>
      <w:pPr>
        <w:jc w:val="center"/>
      </w:pPr>
      <w:r>
        <w:drawing>
          <wp:inline distT="0" distB="0" distL="0" distR="0">
            <wp:extent cx="3861435" cy="2892425"/>
            <wp:effectExtent l="0" t="0" r="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861878" cy="2892919"/>
                    </a:xfrm>
                    <a:prstGeom prst="rect">
                      <a:avLst/>
                    </a:prstGeom>
                    <a:noFill/>
                    <a:ln>
                      <a:noFill/>
                    </a:ln>
                  </pic:spPr>
                </pic:pic>
              </a:graphicData>
            </a:graphic>
          </wp:inline>
        </w:drawing>
      </w:r>
    </w:p>
    <w:p>
      <w:pPr>
        <w:snapToGrid w:val="0"/>
        <w:jc w:val="center"/>
      </w:pPr>
      <w:r>
        <w:rPr>
          <w:sz w:val="20"/>
          <w:szCs w:val="20"/>
        </w:rPr>
        <w:t>Figure 2</w:t>
      </w:r>
      <w:r>
        <w:rPr>
          <w:rFonts w:hint="eastAsia"/>
          <w:sz w:val="20"/>
          <w:szCs w:val="20"/>
        </w:rPr>
        <w:t>.2.1-1</w:t>
      </w:r>
      <w:r>
        <w:rPr>
          <w:sz w:val="20"/>
          <w:szCs w:val="20"/>
        </w:rPr>
        <w:t xml:space="preserve"> </w:t>
      </w:r>
      <w:r>
        <w:rPr>
          <w:rFonts w:hint="eastAsia"/>
          <w:sz w:val="20"/>
          <w:szCs w:val="20"/>
        </w:rPr>
        <w:t xml:space="preserve">. </w:t>
      </w:r>
      <w:r>
        <w:rPr>
          <w:sz w:val="20"/>
          <w:szCs w:val="20"/>
        </w:rPr>
        <w:t xml:space="preserve">Simulation results </w:t>
      </w:r>
      <w:r>
        <w:rPr>
          <w:rFonts w:hint="eastAsia"/>
          <w:sz w:val="20"/>
          <w:szCs w:val="20"/>
        </w:rPr>
        <w:t xml:space="preserve">for </w:t>
      </w:r>
      <w:r>
        <w:rPr>
          <w:sz w:val="20"/>
          <w:szCs w:val="20"/>
        </w:rPr>
        <w:t>50MHz+50MHz</w:t>
      </w:r>
      <w:r>
        <w:rPr>
          <w:rFonts w:hint="eastAsia"/>
          <w:sz w:val="20"/>
          <w:szCs w:val="20"/>
        </w:rPr>
        <w:t xml:space="preserve"> carrier aggregation</w:t>
      </w:r>
      <w:r>
        <w:rPr>
          <w:sz w:val="20"/>
          <w:szCs w:val="20"/>
        </w:rPr>
        <w:t xml:space="preserve"> (InF_SH)</w:t>
      </w:r>
    </w:p>
    <w:p>
      <w:pPr>
        <w:rPr>
          <w:rFonts w:hint="eastAsia"/>
        </w:rPr>
      </w:pPr>
    </w:p>
    <w:p>
      <w:pPr>
        <w:snapToGrid w:val="0"/>
        <w:spacing w:before="156" w:beforeLines="50" w:after="156" w:afterLines="50"/>
        <w:jc w:val="center"/>
        <w:rPr>
          <w:sz w:val="20"/>
          <w:szCs w:val="20"/>
        </w:rPr>
      </w:pPr>
      <w:r>
        <w:rPr>
          <w:sz w:val="20"/>
          <w:szCs w:val="20"/>
        </w:rPr>
        <w:t xml:space="preserve">Table </w:t>
      </w:r>
      <w:r>
        <w:rPr>
          <w:rFonts w:hint="eastAsia"/>
          <w:sz w:val="20"/>
          <w:szCs w:val="20"/>
        </w:rPr>
        <w:t>2.2.</w:t>
      </w:r>
      <w:r>
        <w:rPr>
          <w:rFonts w:hint="eastAsia"/>
          <w:sz w:val="20"/>
          <w:szCs w:val="20"/>
          <w:lang w:val="en-US" w:eastAsia="zh-CN"/>
        </w:rPr>
        <w:t>2</w:t>
      </w:r>
      <w:r>
        <w:rPr>
          <w:rFonts w:hint="eastAsia"/>
          <w:sz w:val="20"/>
          <w:szCs w:val="20"/>
        </w:rPr>
        <w:t>-</w:t>
      </w:r>
      <w:r>
        <w:rPr>
          <w:sz w:val="20"/>
          <w:szCs w:val="20"/>
        </w:rPr>
        <w:t>1</w:t>
      </w:r>
      <w:r>
        <w:rPr>
          <w:rFonts w:hint="eastAsia"/>
          <w:sz w:val="20"/>
          <w:szCs w:val="20"/>
        </w:rPr>
        <w:t>-</w:t>
      </w:r>
      <w:r>
        <w:rPr>
          <w:sz w:val="20"/>
          <w:szCs w:val="20"/>
        </w:rPr>
        <w:t>1</w:t>
      </w:r>
      <w:r>
        <w:rPr>
          <w:rFonts w:hint="eastAsia"/>
          <w:sz w:val="20"/>
          <w:szCs w:val="20"/>
        </w:rPr>
        <w:t>. Summary of</w:t>
      </w:r>
      <w:r>
        <w:rPr>
          <w:sz w:val="20"/>
          <w:szCs w:val="20"/>
        </w:rPr>
        <w:t xml:space="preserve"> </w:t>
      </w:r>
      <w:r>
        <w:rPr>
          <w:rFonts w:hint="eastAsia"/>
          <w:sz w:val="20"/>
          <w:szCs w:val="20"/>
        </w:rPr>
        <w:t>p</w:t>
      </w:r>
      <w:r>
        <w:rPr>
          <w:sz w:val="20"/>
          <w:szCs w:val="20"/>
        </w:rPr>
        <w:t xml:space="preserve">ositioning accuracy </w:t>
      </w:r>
      <w:r>
        <w:rPr>
          <w:rFonts w:hint="eastAsia"/>
          <w:sz w:val="20"/>
          <w:szCs w:val="20"/>
        </w:rPr>
        <w:t>in</w:t>
      </w:r>
      <w:r>
        <w:rPr>
          <w:sz w:val="20"/>
          <w:szCs w:val="20"/>
        </w:rPr>
        <w:t xml:space="preserve"> Figure 2</w:t>
      </w:r>
      <w:r>
        <w:rPr>
          <w:rFonts w:hint="eastAsia"/>
          <w:sz w:val="20"/>
          <w:szCs w:val="20"/>
        </w:rPr>
        <w:t>.2.1-1</w:t>
      </w:r>
    </w:p>
    <w:tbl>
      <w:tblPr>
        <w:tblStyle w:val="2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09"/>
        <w:gridCol w:w="1677"/>
        <w:gridCol w:w="1669"/>
        <w:gridCol w:w="1669"/>
        <w:gridCol w:w="1376"/>
        <w:gridCol w:w="13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Pr>
          <w:p>
            <w:pPr>
              <w:snapToGrid w:val="0"/>
              <w:spacing w:before="156" w:beforeLines="50" w:after="156" w:afterLines="50"/>
              <w:jc w:val="center"/>
              <w:rPr>
                <w:sz w:val="20"/>
                <w:szCs w:val="20"/>
              </w:rPr>
            </w:pPr>
          </w:p>
        </w:tc>
        <w:tc>
          <w:tcPr>
            <w:tcW w:w="1677" w:type="dxa"/>
          </w:tcPr>
          <w:p>
            <w:pPr>
              <w:snapToGrid w:val="0"/>
              <w:spacing w:before="156" w:beforeLines="50" w:after="156" w:afterLines="50"/>
              <w:jc w:val="center"/>
              <w:rPr>
                <w:sz w:val="20"/>
                <w:szCs w:val="20"/>
              </w:rPr>
            </w:pPr>
          </w:p>
        </w:tc>
        <w:tc>
          <w:tcPr>
            <w:tcW w:w="6090" w:type="dxa"/>
            <w:gridSpan w:val="4"/>
          </w:tcPr>
          <w:p>
            <w:pPr>
              <w:snapToGrid w:val="0"/>
              <w:spacing w:before="156" w:beforeLines="50" w:after="156" w:afterLines="50"/>
              <w:jc w:val="center"/>
              <w:rPr>
                <w:sz w:val="20"/>
                <w:szCs w:val="20"/>
              </w:rPr>
            </w:pPr>
            <w:r>
              <w:rPr>
                <w:sz w:val="20"/>
                <w:szCs w:val="20"/>
              </w:rPr>
              <w:t>Position Accuracy (m)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Pr>
          <w:p>
            <w:pPr>
              <w:snapToGrid w:val="0"/>
              <w:spacing w:before="156" w:beforeLines="50" w:after="156" w:afterLines="50"/>
              <w:jc w:val="center"/>
              <w:rPr>
                <w:sz w:val="20"/>
                <w:szCs w:val="20"/>
              </w:rPr>
            </w:pPr>
            <w:r>
              <w:rPr>
                <w:sz w:val="20"/>
                <w:szCs w:val="20"/>
              </w:rPr>
              <w:t>Case</w:t>
            </w:r>
          </w:p>
        </w:tc>
        <w:tc>
          <w:tcPr>
            <w:tcW w:w="1677" w:type="dxa"/>
          </w:tcPr>
          <w:p>
            <w:pPr>
              <w:snapToGrid w:val="0"/>
              <w:spacing w:before="156" w:beforeLines="50" w:after="156" w:afterLines="50"/>
              <w:jc w:val="center"/>
              <w:rPr>
                <w:sz w:val="20"/>
                <w:szCs w:val="20"/>
              </w:rPr>
            </w:pPr>
            <w:r>
              <w:rPr>
                <w:sz w:val="20"/>
                <w:szCs w:val="20"/>
              </w:rPr>
              <w:t>Delay (ns)</w:t>
            </w:r>
          </w:p>
        </w:tc>
        <w:tc>
          <w:tcPr>
            <w:tcW w:w="1669" w:type="dxa"/>
          </w:tcPr>
          <w:p>
            <w:pPr>
              <w:snapToGrid w:val="0"/>
              <w:spacing w:before="156" w:beforeLines="50" w:after="156" w:afterLines="50"/>
              <w:jc w:val="center"/>
              <w:rPr>
                <w:sz w:val="20"/>
                <w:szCs w:val="20"/>
              </w:rPr>
            </w:pPr>
            <w:r>
              <w:rPr>
                <w:sz w:val="20"/>
                <w:szCs w:val="20"/>
              </w:rPr>
              <w:t>CDF=50%</w:t>
            </w:r>
          </w:p>
        </w:tc>
        <w:tc>
          <w:tcPr>
            <w:tcW w:w="1669" w:type="dxa"/>
          </w:tcPr>
          <w:p>
            <w:pPr>
              <w:snapToGrid w:val="0"/>
              <w:spacing w:before="156" w:beforeLines="50" w:after="156" w:afterLines="50"/>
              <w:jc w:val="center"/>
              <w:rPr>
                <w:sz w:val="20"/>
                <w:szCs w:val="20"/>
              </w:rPr>
            </w:pPr>
            <w:r>
              <w:rPr>
                <w:sz w:val="20"/>
                <w:szCs w:val="20"/>
              </w:rPr>
              <w:t>CDF=67%</w:t>
            </w:r>
          </w:p>
        </w:tc>
        <w:tc>
          <w:tcPr>
            <w:tcW w:w="1376" w:type="dxa"/>
          </w:tcPr>
          <w:p>
            <w:pPr>
              <w:snapToGrid w:val="0"/>
              <w:spacing w:before="156" w:beforeLines="50" w:after="156" w:afterLines="50"/>
              <w:jc w:val="center"/>
              <w:rPr>
                <w:sz w:val="20"/>
                <w:szCs w:val="20"/>
              </w:rPr>
            </w:pPr>
            <w:r>
              <w:rPr>
                <w:sz w:val="20"/>
                <w:szCs w:val="20"/>
              </w:rPr>
              <w:t>CDF=80%</w:t>
            </w:r>
          </w:p>
        </w:tc>
        <w:tc>
          <w:tcPr>
            <w:tcW w:w="1376" w:type="dxa"/>
          </w:tcPr>
          <w:p>
            <w:pPr>
              <w:snapToGrid w:val="0"/>
              <w:spacing w:before="156" w:beforeLines="50" w:after="156" w:afterLines="50"/>
              <w:jc w:val="center"/>
              <w:rPr>
                <w:sz w:val="20"/>
                <w:szCs w:val="20"/>
              </w:rPr>
            </w:pPr>
            <w:r>
              <w:rPr>
                <w:sz w:val="20"/>
                <w:szCs w:val="20"/>
              </w:rPr>
              <w:t>CDF=90%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restart"/>
          </w:tcPr>
          <w:p>
            <w:pPr>
              <w:snapToGrid w:val="0"/>
              <w:spacing w:before="156" w:beforeLines="50" w:after="156" w:afterLines="50"/>
              <w:rPr>
                <w:sz w:val="20"/>
                <w:szCs w:val="20"/>
              </w:rPr>
            </w:pPr>
            <w:r>
              <w:rPr>
                <w:sz w:val="20"/>
                <w:szCs w:val="20"/>
              </w:rPr>
              <w:t>100MHz+</w:t>
            </w:r>
            <w:r>
              <w:rPr>
                <w:rFonts w:hint="eastAsia"/>
                <w:sz w:val="20"/>
                <w:szCs w:val="20"/>
              </w:rPr>
              <w:t>10</w:t>
            </w:r>
            <w:r>
              <w:rPr>
                <w:sz w:val="20"/>
                <w:szCs w:val="20"/>
              </w:rPr>
              <w:t>0MHz (InF_SH)</w:t>
            </w:r>
          </w:p>
        </w:tc>
        <w:tc>
          <w:tcPr>
            <w:tcW w:w="1677"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0.081</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0.110</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0.136</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0.187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1</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 xml:space="preserve">0.119 </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0.170</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0.236</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0.284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2</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0.215</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0.313</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0.424</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0.569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Single FL (100MHz)</w:t>
            </w:r>
          </w:p>
        </w:tc>
        <w:tc>
          <w:tcPr>
            <w:tcW w:w="1669"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0.264</w:t>
            </w:r>
          </w:p>
        </w:tc>
        <w:tc>
          <w:tcPr>
            <w:tcW w:w="1669"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0.349</w:t>
            </w:r>
          </w:p>
        </w:tc>
        <w:tc>
          <w:tcPr>
            <w:tcW w:w="1376"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0.413</w:t>
            </w:r>
          </w:p>
        </w:tc>
        <w:tc>
          <w:tcPr>
            <w:tcW w:w="1376"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0.507</w:t>
            </w:r>
          </w:p>
        </w:tc>
      </w:tr>
    </w:tbl>
    <w:p/>
    <w:p>
      <w:pPr>
        <w:outlineLvl w:val="1"/>
        <w:rPr>
          <w:rFonts w:ascii="Arial" w:hAnsi="Arial" w:cs="Arial"/>
          <w:sz w:val="28"/>
          <w:szCs w:val="28"/>
        </w:rPr>
      </w:pPr>
      <w:r>
        <w:rPr>
          <w:rFonts w:ascii="Arial" w:hAnsi="Arial" w:cs="Arial"/>
          <w:sz w:val="28"/>
          <w:szCs w:val="28"/>
        </w:rPr>
        <w:t>2.</w:t>
      </w:r>
      <w:r>
        <w:rPr>
          <w:rFonts w:hint="eastAsia" w:ascii="Arial" w:hAnsi="Arial" w:cs="Arial"/>
          <w:sz w:val="28"/>
          <w:szCs w:val="28"/>
        </w:rPr>
        <w:t>3</w:t>
      </w:r>
      <w:r>
        <w:rPr>
          <w:rFonts w:ascii="Arial" w:hAnsi="Arial" w:cs="Arial"/>
          <w:sz w:val="28"/>
          <w:szCs w:val="28"/>
        </w:rPr>
        <w:t>.</w:t>
      </w:r>
      <w:r>
        <w:rPr>
          <w:rFonts w:hint="eastAsia" w:ascii="Arial" w:hAnsi="Arial" w:cs="Arial"/>
          <w:sz w:val="28"/>
          <w:szCs w:val="28"/>
        </w:rPr>
        <w:t xml:space="preserve"> Measurement results for intra-band contiguous CA TAE </w:t>
      </w:r>
    </w:p>
    <w:p>
      <w:r>
        <w:rPr>
          <w:rFonts w:hint="eastAsia"/>
        </w:rPr>
        <w:t>As mentioned in section 2.2, RAN4 need to study its feasibility to fulfill the minimum requirements. In the following section, we want to provide some initial measurement results to further discuss its feasibility.</w:t>
      </w:r>
    </w:p>
    <w:p>
      <w:pPr>
        <w:outlineLvl w:val="2"/>
      </w:pPr>
      <w:r>
        <w:rPr>
          <w:rFonts w:hint="eastAsia" w:ascii="Arial" w:hAnsi="Arial" w:cs="Arial"/>
          <w:sz w:val="28"/>
          <w:szCs w:val="28"/>
        </w:rPr>
        <w:t xml:space="preserve">2.3.1 </w:t>
      </w:r>
      <w:r>
        <w:rPr>
          <w:rFonts w:ascii="Arial" w:hAnsi="Arial" w:cs="Arial"/>
          <w:sz w:val="28"/>
          <w:szCs w:val="28"/>
        </w:rPr>
        <w:t>FR1</w:t>
      </w:r>
      <w:r>
        <w:rPr>
          <w:rFonts w:hint="eastAsia" w:ascii="Arial" w:hAnsi="Arial" w:cs="Arial"/>
          <w:sz w:val="28"/>
          <w:szCs w:val="28"/>
        </w:rPr>
        <w:t xml:space="preserve"> intra-band contiguous CA</w:t>
      </w:r>
      <w:r>
        <w:rPr>
          <w:rFonts w:ascii="Arial" w:hAnsi="Arial" w:cs="Arial"/>
          <w:sz w:val="28"/>
          <w:szCs w:val="28"/>
        </w:rPr>
        <w:t xml:space="preserve"> </w:t>
      </w:r>
    </w:p>
    <w:p>
      <w:pPr>
        <w:snapToGrid w:val="0"/>
        <w:rPr>
          <w:sz w:val="20"/>
          <w:szCs w:val="20"/>
        </w:rPr>
      </w:pPr>
      <w:r>
        <w:rPr>
          <w:rFonts w:hint="eastAsia"/>
          <w:sz w:val="20"/>
          <w:szCs w:val="20"/>
        </w:rPr>
        <w:t>S</w:t>
      </w:r>
      <w:r>
        <w:rPr>
          <w:sz w:val="20"/>
          <w:szCs w:val="20"/>
        </w:rPr>
        <w:t xml:space="preserve">ome very initial field </w:t>
      </w:r>
      <w:r>
        <w:rPr>
          <w:rFonts w:hint="eastAsia"/>
          <w:sz w:val="20"/>
          <w:szCs w:val="20"/>
        </w:rPr>
        <w:t xml:space="preserve">testing via </w:t>
      </w:r>
      <w:r>
        <w:rPr>
          <w:sz w:val="20"/>
          <w:szCs w:val="20"/>
        </w:rPr>
        <w:t>an</w:t>
      </w:r>
      <w:r>
        <w:rPr>
          <w:rFonts w:hint="eastAsia"/>
          <w:sz w:val="20"/>
          <w:szCs w:val="20"/>
        </w:rPr>
        <w:t xml:space="preserve"> existing commercial</w:t>
      </w:r>
      <w:r>
        <w:rPr>
          <w:sz w:val="20"/>
          <w:szCs w:val="20"/>
        </w:rPr>
        <w:t xml:space="preserve"> smart phone are performed on two contiguous carriers that carry SRS transmission as the following Figure </w:t>
      </w:r>
      <w:r>
        <w:rPr>
          <w:rFonts w:hint="eastAsia"/>
          <w:sz w:val="20"/>
          <w:szCs w:val="20"/>
        </w:rPr>
        <w:t>2.3.1-1</w:t>
      </w:r>
      <w:r>
        <w:rPr>
          <w:sz w:val="20"/>
          <w:szCs w:val="20"/>
        </w:rPr>
        <w:t xml:space="preserve">. More field tests with advanced UE/gNB are ongoing. </w:t>
      </w:r>
    </w:p>
    <w:p>
      <w:pPr>
        <w:autoSpaceDE w:val="0"/>
        <w:autoSpaceDN w:val="0"/>
        <w:adjustRightInd w:val="0"/>
        <w:snapToGrid w:val="0"/>
        <w:spacing w:before="156" w:beforeLines="50" w:after="156" w:afterLines="50"/>
        <w:rPr>
          <w:sz w:val="20"/>
          <w:szCs w:val="20"/>
        </w:rPr>
      </w:pPr>
      <w:r>
        <w:rPr>
          <w:sz w:val="20"/>
          <w:szCs w:val="20"/>
        </w:rPr>
        <w:t xml:space="preserve">From these figures, it can be observed that the timing difference between the CC with 100MHz and the CC with 60MHz only is </w:t>
      </w:r>
      <w:r>
        <w:rPr>
          <w:rFonts w:hint="eastAsia"/>
          <w:sz w:val="20"/>
          <w:szCs w:val="20"/>
        </w:rPr>
        <w:t>around</w:t>
      </w:r>
      <w:r>
        <w:rPr>
          <w:sz w:val="20"/>
          <w:szCs w:val="20"/>
        </w:rPr>
        <w:t xml:space="preserve"> 4Tc = 586 – 582 = 2ns for the first path. </w:t>
      </w:r>
    </w:p>
    <w:p>
      <w:pPr>
        <w:snapToGrid w:val="0"/>
        <w:jc w:val="center"/>
        <w:rPr>
          <w:sz w:val="20"/>
          <w:szCs w:val="20"/>
        </w:rPr>
      </w:pPr>
      <w:r>
        <w:drawing>
          <wp:inline distT="0" distB="0" distL="0" distR="0">
            <wp:extent cx="2508250" cy="188023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510223" cy="1881919"/>
                    </a:xfrm>
                    <a:prstGeom prst="rect">
                      <a:avLst/>
                    </a:prstGeom>
                    <a:noFill/>
                    <a:ln>
                      <a:noFill/>
                    </a:ln>
                  </pic:spPr>
                </pic:pic>
              </a:graphicData>
            </a:graphic>
          </wp:inline>
        </w:drawing>
      </w:r>
      <w:r>
        <w:rPr>
          <w:sz w:val="20"/>
          <w:szCs w:val="20"/>
        </w:rPr>
        <w:t xml:space="preserve"> </w:t>
      </w:r>
      <w:r>
        <w:drawing>
          <wp:inline distT="0" distB="0" distL="0" distR="0">
            <wp:extent cx="2465070" cy="1847850"/>
            <wp:effectExtent l="0" t="0" r="0" b="1143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466161" cy="1848885"/>
                    </a:xfrm>
                    <a:prstGeom prst="rect">
                      <a:avLst/>
                    </a:prstGeom>
                    <a:noFill/>
                    <a:ln>
                      <a:noFill/>
                    </a:ln>
                  </pic:spPr>
                </pic:pic>
              </a:graphicData>
            </a:graphic>
          </wp:inline>
        </w:drawing>
      </w:r>
    </w:p>
    <w:p>
      <w:pPr>
        <w:snapToGrid w:val="0"/>
        <w:jc w:val="center"/>
        <w:rPr>
          <w:sz w:val="20"/>
          <w:szCs w:val="20"/>
        </w:rPr>
      </w:pPr>
      <w:r>
        <w:rPr>
          <w:sz w:val="20"/>
          <w:szCs w:val="20"/>
        </w:rPr>
        <w:t xml:space="preserve">Figure </w:t>
      </w:r>
      <w:r>
        <w:rPr>
          <w:rFonts w:hint="eastAsia"/>
          <w:sz w:val="20"/>
          <w:szCs w:val="20"/>
        </w:rPr>
        <w:t>2.3.1-1.</w:t>
      </w:r>
      <w:r>
        <w:rPr>
          <w:sz w:val="20"/>
          <w:szCs w:val="20"/>
        </w:rPr>
        <w:t xml:space="preserve"> Field test of SRS timing errors between one 100MHz CC and one 60MHz CC</w:t>
      </w:r>
    </w:p>
    <w:p>
      <w:pPr>
        <w:autoSpaceDE w:val="0"/>
        <w:autoSpaceDN w:val="0"/>
        <w:adjustRightInd w:val="0"/>
        <w:snapToGrid w:val="0"/>
        <w:spacing w:before="156" w:beforeLines="50" w:after="156" w:afterLines="50"/>
      </w:pPr>
      <w:r>
        <w:rPr>
          <w:rFonts w:hint="eastAsia"/>
          <w:sz w:val="20"/>
          <w:szCs w:val="20"/>
        </w:rPr>
        <w:t xml:space="preserve">Note: More testing data for downlink intra-band contiguous CA would be provided. Based on the state of the art, achieved timing alignment error between different bands would be around 2ns which consist of </w:t>
      </w:r>
      <w:r>
        <w:rPr>
          <w:rFonts w:hint="eastAsia"/>
        </w:rPr>
        <w:t xml:space="preserve">group delay response of PA and analog filtering in different frequency range and transmitter calibration error, however for intra-band contiguous CA, it should only consist of group delay response of PA and analog filtering in different frequency range, therefore it could be expected that </w:t>
      </w:r>
      <w:r>
        <w:t>less than</w:t>
      </w:r>
      <w:r>
        <w:rPr>
          <w:rFonts w:hint="eastAsia"/>
        </w:rPr>
        <w:t xml:space="preserve"> 2ns timing alignment error for intra-band CA is also feasible. </w:t>
      </w:r>
    </w:p>
    <w:p>
      <w:pPr>
        <w:snapToGrid w:val="0"/>
        <w:spacing w:before="156" w:after="156"/>
      </w:pPr>
      <w:r>
        <w:rPr>
          <w:b/>
          <w:i/>
          <w:sz w:val="20"/>
          <w:szCs w:val="20"/>
        </w:rPr>
        <w:t xml:space="preserve">Observation </w:t>
      </w:r>
      <w:r>
        <w:rPr>
          <w:rFonts w:hint="eastAsia"/>
          <w:b/>
          <w:i/>
          <w:sz w:val="20"/>
          <w:szCs w:val="20"/>
        </w:rPr>
        <w:t>3</w:t>
      </w:r>
      <w:r>
        <w:rPr>
          <w:b/>
          <w:i/>
          <w:sz w:val="20"/>
          <w:szCs w:val="20"/>
        </w:rPr>
        <w:t>:</w:t>
      </w:r>
      <w:r>
        <w:rPr>
          <w:rFonts w:hint="eastAsia"/>
          <w:b/>
          <w:i/>
          <w:sz w:val="20"/>
          <w:szCs w:val="20"/>
        </w:rPr>
        <w:t xml:space="preserve"> </w:t>
      </w:r>
      <w:r>
        <w:rPr>
          <w:rFonts w:hint="eastAsia"/>
          <w:bCs/>
          <w:i/>
          <w:sz w:val="20"/>
          <w:szCs w:val="20"/>
        </w:rPr>
        <w:t>for FR1 intra-band contiguous CA scenario,</w:t>
      </w:r>
      <w:r>
        <w:rPr>
          <w:b/>
          <w:i/>
          <w:sz w:val="20"/>
          <w:szCs w:val="20"/>
        </w:rPr>
        <w:t xml:space="preserve"> </w:t>
      </w:r>
      <w:r>
        <w:rPr>
          <w:rFonts w:hint="eastAsia"/>
          <w:b/>
          <w:i/>
          <w:sz w:val="20"/>
          <w:szCs w:val="20"/>
        </w:rPr>
        <w:t>e</w:t>
      </w:r>
      <w:r>
        <w:rPr>
          <w:i/>
          <w:sz w:val="20"/>
          <w:szCs w:val="20"/>
        </w:rPr>
        <w:t>xtremely small timing difference</w:t>
      </w:r>
      <w:r>
        <w:rPr>
          <w:rFonts w:hint="eastAsia"/>
          <w:i/>
          <w:sz w:val="20"/>
          <w:szCs w:val="20"/>
        </w:rPr>
        <w:t xml:space="preserve"> (e.g. </w:t>
      </w:r>
      <w:r>
        <w:rPr>
          <w:i/>
          <w:sz w:val="20"/>
          <w:szCs w:val="20"/>
        </w:rPr>
        <w:t xml:space="preserve">less than </w:t>
      </w:r>
      <w:r>
        <w:rPr>
          <w:rFonts w:hint="eastAsia"/>
          <w:i/>
          <w:sz w:val="20"/>
          <w:szCs w:val="20"/>
        </w:rPr>
        <w:t xml:space="preserve">2ns) in UL </w:t>
      </w:r>
      <w:r>
        <w:rPr>
          <w:i/>
          <w:sz w:val="20"/>
          <w:szCs w:val="20"/>
        </w:rPr>
        <w:t>between contiguous CCs is feasible.</w:t>
      </w:r>
    </w:p>
    <w:p>
      <w:pPr>
        <w:outlineLvl w:val="2"/>
      </w:pPr>
      <w:r>
        <w:rPr>
          <w:rFonts w:hint="eastAsia" w:ascii="Arial" w:hAnsi="Arial" w:cs="Arial"/>
          <w:sz w:val="28"/>
          <w:szCs w:val="28"/>
        </w:rPr>
        <w:t xml:space="preserve">2.3.2 </w:t>
      </w:r>
      <w:r>
        <w:rPr>
          <w:rFonts w:ascii="Arial" w:hAnsi="Arial" w:cs="Arial"/>
          <w:sz w:val="28"/>
          <w:szCs w:val="28"/>
        </w:rPr>
        <w:t>FR</w:t>
      </w:r>
      <w:r>
        <w:rPr>
          <w:rFonts w:hint="eastAsia" w:ascii="Arial" w:hAnsi="Arial" w:cs="Arial"/>
          <w:sz w:val="28"/>
          <w:szCs w:val="28"/>
        </w:rPr>
        <w:t>2 intra-band contiguous CA</w:t>
      </w:r>
      <w:r>
        <w:rPr>
          <w:rFonts w:ascii="Arial" w:hAnsi="Arial" w:cs="Arial"/>
          <w:sz w:val="28"/>
          <w:szCs w:val="28"/>
        </w:rPr>
        <w:t xml:space="preserve"> </w:t>
      </w:r>
    </w:p>
    <w:p>
      <w:r>
        <w:rPr>
          <w:rFonts w:hint="eastAsia"/>
        </w:rPr>
        <w:t>As mentioned in section 2.2, for intra-band contiguous CA, physical signals generated from baseband module will go through the same IF and RF Tx/Rx chain, then the timing difference/phase coherency among candidate carriers would be mainly impacted by group delay of PA and analog filtering in different frequency ranges. In the following figure, group delay response for 26GHz is provided, it could be found that group delay between 24.25GHz, 26.263GHz and 27.5GHz, its group delay difference should be less than 0.2ns. For other RF components</w:t>
      </w:r>
      <w:r>
        <w:t>’</w:t>
      </w:r>
      <w:r>
        <w:rPr>
          <w:rFonts w:hint="eastAsia"/>
        </w:rPr>
        <w:t xml:space="preserve"> group delay response could be provided later on.</w:t>
      </w:r>
    </w:p>
    <w:p>
      <w:r>
        <w:drawing>
          <wp:inline distT="0" distB="0" distL="114300" distR="114300">
            <wp:extent cx="6184265" cy="4688205"/>
            <wp:effectExtent l="0" t="0" r="3175" b="5715"/>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12"/>
                    <a:stretch>
                      <a:fillRect/>
                    </a:stretch>
                  </pic:blipFill>
                  <pic:spPr>
                    <a:xfrm>
                      <a:off x="0" y="0"/>
                      <a:ext cx="6184265" cy="4688205"/>
                    </a:xfrm>
                    <a:prstGeom prst="rect">
                      <a:avLst/>
                    </a:prstGeom>
                    <a:noFill/>
                    <a:ln>
                      <a:noFill/>
                    </a:ln>
                  </pic:spPr>
                </pic:pic>
              </a:graphicData>
            </a:graphic>
          </wp:inline>
        </w:drawing>
      </w:r>
    </w:p>
    <w:p>
      <w:pPr>
        <w:snapToGrid w:val="0"/>
      </w:pPr>
      <w:r>
        <w:rPr>
          <w:b/>
          <w:i/>
          <w:sz w:val="20"/>
          <w:szCs w:val="20"/>
        </w:rPr>
        <w:t xml:space="preserve">Observation </w:t>
      </w:r>
      <w:r>
        <w:rPr>
          <w:rFonts w:hint="eastAsia"/>
          <w:b/>
          <w:i/>
          <w:sz w:val="20"/>
          <w:szCs w:val="20"/>
        </w:rPr>
        <w:t>4</w:t>
      </w:r>
      <w:r>
        <w:rPr>
          <w:b/>
          <w:i/>
          <w:sz w:val="20"/>
          <w:szCs w:val="20"/>
        </w:rPr>
        <w:t>:</w:t>
      </w:r>
      <w:r>
        <w:rPr>
          <w:rFonts w:hint="eastAsia"/>
          <w:b/>
          <w:i/>
          <w:sz w:val="20"/>
          <w:szCs w:val="20"/>
        </w:rPr>
        <w:t xml:space="preserve"> </w:t>
      </w:r>
      <w:r>
        <w:rPr>
          <w:rFonts w:hint="eastAsia"/>
          <w:bCs/>
          <w:i/>
          <w:sz w:val="20"/>
          <w:szCs w:val="20"/>
        </w:rPr>
        <w:t>for FR2 intra-band contiguous CA scenario,</w:t>
      </w:r>
      <w:r>
        <w:rPr>
          <w:b/>
          <w:i/>
          <w:sz w:val="20"/>
          <w:szCs w:val="20"/>
        </w:rPr>
        <w:t xml:space="preserve"> </w:t>
      </w:r>
      <w:r>
        <w:rPr>
          <w:rFonts w:hint="eastAsia"/>
          <w:b/>
          <w:i/>
          <w:sz w:val="20"/>
          <w:szCs w:val="20"/>
        </w:rPr>
        <w:t>e</w:t>
      </w:r>
      <w:r>
        <w:rPr>
          <w:i/>
          <w:sz w:val="20"/>
          <w:szCs w:val="20"/>
        </w:rPr>
        <w:t>xtremely small timing difference</w:t>
      </w:r>
      <w:r>
        <w:rPr>
          <w:rFonts w:hint="eastAsia"/>
          <w:i/>
          <w:sz w:val="20"/>
          <w:szCs w:val="20"/>
        </w:rPr>
        <w:t xml:space="preserve"> </w:t>
      </w:r>
      <w:r>
        <w:rPr>
          <w:i/>
          <w:sz w:val="20"/>
          <w:szCs w:val="20"/>
        </w:rPr>
        <w:t>between contiguous CCs</w:t>
      </w:r>
      <w:r>
        <w:rPr>
          <w:rFonts w:hint="eastAsia"/>
          <w:i/>
          <w:sz w:val="20"/>
          <w:szCs w:val="20"/>
        </w:rPr>
        <w:t xml:space="preserve"> due to RF filtering</w:t>
      </w:r>
      <w:r>
        <w:rPr>
          <w:i/>
          <w:sz w:val="20"/>
          <w:szCs w:val="20"/>
        </w:rPr>
        <w:t xml:space="preserve"> is</w:t>
      </w:r>
      <w:r>
        <w:rPr>
          <w:rFonts w:hint="eastAsia"/>
          <w:i/>
          <w:sz w:val="20"/>
          <w:szCs w:val="20"/>
        </w:rPr>
        <w:t xml:space="preserve"> around 0.2ns.</w:t>
      </w:r>
    </w:p>
    <w:bookmarkEnd w:id="1"/>
    <w:bookmarkEnd w:id="2"/>
    <w:bookmarkEnd w:id="3"/>
    <w:bookmarkEnd w:id="4"/>
    <w:p>
      <w:pPr>
        <w:pStyle w:val="52"/>
        <w:tabs>
          <w:tab w:val="left" w:pos="567"/>
          <w:tab w:val="clear" w:pos="1985"/>
        </w:tabs>
        <w:adjustRightInd w:val="0"/>
        <w:ind w:left="510" w:hanging="510"/>
      </w:pPr>
      <w:r>
        <w:t>Conclusions</w:t>
      </w:r>
    </w:p>
    <w:p>
      <w:pPr>
        <w:jc w:val="left"/>
      </w:pPr>
      <w:r>
        <w:rPr>
          <w:rFonts w:hint="eastAsia" w:eastAsiaTheme="minorEastAsia"/>
        </w:rPr>
        <w:t xml:space="preserve">In this contribution, </w:t>
      </w:r>
      <w:r>
        <w:rPr>
          <w:rFonts w:hint="eastAsia"/>
        </w:rPr>
        <w:t>we want to share some initial consideration on intra-band contiguous CA based positioning enhancement and proposals are made as following:</w:t>
      </w:r>
    </w:p>
    <w:p>
      <w:pPr>
        <w:rPr>
          <w:b/>
          <w:bCs/>
        </w:rPr>
      </w:pPr>
      <w:r>
        <w:rPr>
          <w:rFonts w:hint="eastAsia"/>
          <w:b/>
          <w:bCs/>
        </w:rPr>
        <w:t>Observation 1:</w:t>
      </w:r>
    </w:p>
    <w:p>
      <w:pPr>
        <w:jc w:val="left"/>
      </w:pPr>
      <w:r>
        <w:rPr>
          <w:rFonts w:hint="eastAsia"/>
        </w:rPr>
        <w:t>From BS hardware supporting the intra-band contiguous CA case, timing difference/phase coherency among the aggregated contiguous carriers would be mainly impacted by group delay response of PA and analog filtering in different frequency ranges. For other error source which might impact positioning accuracy e.g.frequency error or power imbalance, these contributing factor in intra-band contiguous CA case is negligible</w:t>
      </w:r>
    </w:p>
    <w:p>
      <w:r>
        <w:rPr>
          <w:rFonts w:hint="eastAsia"/>
          <w:b/>
          <w:bCs/>
        </w:rPr>
        <w:t>Observation 2:</w:t>
      </w:r>
    </w:p>
    <w:p>
      <w:pPr>
        <w:jc w:val="left"/>
      </w:pPr>
      <w:r>
        <w:rPr>
          <w:rFonts w:hint="eastAsia"/>
        </w:rPr>
        <w:t>From UE hardware perspective, just similar as BS side, timing difference/phase coherency among the aggregated contiguous carriers would be mainly impacted by group delay response of PA and analog filtering in different frequency ranges. For other error source which might impact positioning accuracy e.g.frequency error or power imbalance, these contributing factor in intra-band contiguous CA case is negligible.</w:t>
      </w:r>
    </w:p>
    <w:p>
      <w:r>
        <w:rPr>
          <w:rFonts w:hint="eastAsia"/>
          <w:b/>
          <w:bCs/>
        </w:rPr>
        <w:t xml:space="preserve">Proposal 1: </w:t>
      </w:r>
      <w:r>
        <w:rPr>
          <w:rFonts w:hint="eastAsia"/>
        </w:rPr>
        <w:t>RAN4 need to study the minimum requirements to achieve the positioning accuracy improvement for intra-band contiguous CA compared with single component carrier case and its feasibility to fullfil the minimum requirements</w:t>
      </w:r>
    </w:p>
    <w:p>
      <w:pPr>
        <w:snapToGrid w:val="0"/>
        <w:rPr>
          <w:i/>
          <w:sz w:val="20"/>
          <w:szCs w:val="20"/>
        </w:rPr>
      </w:pPr>
      <w:r>
        <w:rPr>
          <w:b/>
          <w:i/>
          <w:sz w:val="20"/>
          <w:szCs w:val="20"/>
        </w:rPr>
        <w:t xml:space="preserve">Observation </w:t>
      </w:r>
      <w:r>
        <w:rPr>
          <w:rFonts w:hint="eastAsia"/>
          <w:b/>
          <w:i/>
          <w:sz w:val="20"/>
          <w:szCs w:val="20"/>
        </w:rPr>
        <w:t>3</w:t>
      </w:r>
      <w:r>
        <w:rPr>
          <w:b/>
          <w:i/>
          <w:sz w:val="20"/>
          <w:szCs w:val="20"/>
        </w:rPr>
        <w:t>:</w:t>
      </w:r>
      <w:r>
        <w:rPr>
          <w:rFonts w:hint="eastAsia"/>
          <w:b/>
          <w:i/>
          <w:sz w:val="20"/>
          <w:szCs w:val="20"/>
        </w:rPr>
        <w:t xml:space="preserve"> </w:t>
      </w:r>
      <w:r>
        <w:rPr>
          <w:rFonts w:hint="eastAsia"/>
          <w:bCs/>
          <w:i/>
          <w:sz w:val="20"/>
          <w:szCs w:val="20"/>
        </w:rPr>
        <w:t>for FR1 intra-band contiguous CA scenario,</w:t>
      </w:r>
      <w:r>
        <w:rPr>
          <w:b/>
          <w:i/>
          <w:sz w:val="20"/>
          <w:szCs w:val="20"/>
        </w:rPr>
        <w:t xml:space="preserve"> </w:t>
      </w:r>
      <w:r>
        <w:rPr>
          <w:rFonts w:hint="eastAsia"/>
          <w:b/>
          <w:i/>
          <w:sz w:val="20"/>
          <w:szCs w:val="20"/>
        </w:rPr>
        <w:t>e</w:t>
      </w:r>
      <w:r>
        <w:rPr>
          <w:i/>
          <w:sz w:val="20"/>
          <w:szCs w:val="20"/>
        </w:rPr>
        <w:t>xtremely small timing difference</w:t>
      </w:r>
      <w:r>
        <w:rPr>
          <w:rFonts w:hint="eastAsia"/>
          <w:i/>
          <w:sz w:val="20"/>
          <w:szCs w:val="20"/>
        </w:rPr>
        <w:t xml:space="preserve"> (e,g,2ns) in UL</w:t>
      </w:r>
      <w:r>
        <w:rPr>
          <w:i/>
          <w:sz w:val="20"/>
          <w:szCs w:val="20"/>
        </w:rPr>
        <w:t xml:space="preserve"> between contiguous CCs is feasible from the field test.</w:t>
      </w:r>
    </w:p>
    <w:p>
      <w:pPr>
        <w:widowControl/>
        <w:snapToGrid w:val="0"/>
        <w:jc w:val="left"/>
      </w:pPr>
      <w:r>
        <w:rPr>
          <w:b/>
          <w:i/>
          <w:sz w:val="20"/>
          <w:szCs w:val="20"/>
        </w:rPr>
        <w:t xml:space="preserve">Observation </w:t>
      </w:r>
      <w:r>
        <w:rPr>
          <w:rFonts w:hint="eastAsia"/>
          <w:b/>
          <w:i/>
          <w:sz w:val="20"/>
          <w:szCs w:val="20"/>
        </w:rPr>
        <w:t>4</w:t>
      </w:r>
      <w:r>
        <w:rPr>
          <w:b/>
          <w:i/>
          <w:sz w:val="20"/>
          <w:szCs w:val="20"/>
        </w:rPr>
        <w:t>:</w:t>
      </w:r>
      <w:r>
        <w:rPr>
          <w:rFonts w:hint="eastAsia"/>
          <w:b/>
          <w:i/>
          <w:sz w:val="20"/>
          <w:szCs w:val="20"/>
        </w:rPr>
        <w:t xml:space="preserve"> </w:t>
      </w:r>
      <w:r>
        <w:rPr>
          <w:rFonts w:hint="eastAsia"/>
          <w:bCs/>
          <w:i/>
          <w:sz w:val="20"/>
          <w:szCs w:val="20"/>
        </w:rPr>
        <w:t>for FR2 intra-band contiguous CA scenario,</w:t>
      </w:r>
      <w:r>
        <w:rPr>
          <w:b/>
          <w:i/>
          <w:sz w:val="20"/>
          <w:szCs w:val="20"/>
        </w:rPr>
        <w:t xml:space="preserve"> </w:t>
      </w:r>
      <w:r>
        <w:rPr>
          <w:rFonts w:hint="eastAsia"/>
          <w:b/>
          <w:i/>
          <w:sz w:val="20"/>
          <w:szCs w:val="20"/>
        </w:rPr>
        <w:t>e</w:t>
      </w:r>
      <w:r>
        <w:rPr>
          <w:i/>
          <w:sz w:val="20"/>
          <w:szCs w:val="20"/>
        </w:rPr>
        <w:t>xtremely small timing difference</w:t>
      </w:r>
      <w:r>
        <w:rPr>
          <w:rFonts w:hint="eastAsia"/>
          <w:i/>
          <w:sz w:val="20"/>
          <w:szCs w:val="20"/>
        </w:rPr>
        <w:t xml:space="preserve"> </w:t>
      </w:r>
      <w:r>
        <w:rPr>
          <w:i/>
          <w:sz w:val="20"/>
          <w:szCs w:val="20"/>
        </w:rPr>
        <w:t>between contiguous CCs</w:t>
      </w:r>
      <w:r>
        <w:rPr>
          <w:rFonts w:hint="eastAsia"/>
          <w:i/>
          <w:sz w:val="20"/>
          <w:szCs w:val="20"/>
        </w:rPr>
        <w:t xml:space="preserve"> due to RF filtering</w:t>
      </w:r>
      <w:r>
        <w:rPr>
          <w:i/>
          <w:sz w:val="20"/>
          <w:szCs w:val="20"/>
        </w:rPr>
        <w:t xml:space="preserve"> is</w:t>
      </w:r>
      <w:r>
        <w:rPr>
          <w:rFonts w:hint="eastAsia"/>
          <w:i/>
          <w:sz w:val="20"/>
          <w:szCs w:val="20"/>
        </w:rPr>
        <w:t xml:space="preserve"> around 0.2ns.</w:t>
      </w:r>
    </w:p>
    <w:p>
      <w:pPr>
        <w:pStyle w:val="52"/>
        <w:tabs>
          <w:tab w:val="left" w:pos="567"/>
          <w:tab w:val="clear" w:pos="1985"/>
        </w:tabs>
        <w:adjustRightInd w:val="0"/>
        <w:ind w:left="510" w:hanging="510"/>
      </w:pPr>
      <w:r>
        <w:t>References</w:t>
      </w:r>
    </w:p>
    <w:p>
      <w:pPr>
        <w:pStyle w:val="50"/>
        <w:numPr>
          <w:ilvl w:val="0"/>
          <w:numId w:val="3"/>
        </w:numPr>
        <w:rPr>
          <w:sz w:val="20"/>
          <w:szCs w:val="20"/>
        </w:rPr>
      </w:pPr>
      <w:r>
        <w:rPr>
          <w:rFonts w:hint="eastAsia"/>
          <w:sz w:val="20"/>
          <w:szCs w:val="20"/>
        </w:rPr>
        <w:t>RP-221814,Study on expanded and improved NR positioning, Intel, approved</w:t>
      </w:r>
    </w:p>
    <w:p>
      <w:pPr>
        <w:pStyle w:val="50"/>
        <w:numPr>
          <w:ilvl w:val="0"/>
          <w:numId w:val="3"/>
        </w:numPr>
        <w:rPr>
          <w:sz w:val="20"/>
          <w:szCs w:val="20"/>
        </w:rPr>
      </w:pPr>
      <w:r>
        <w:rPr>
          <w:rFonts w:hint="eastAsia"/>
          <w:sz w:val="20"/>
          <w:szCs w:val="20"/>
        </w:rPr>
        <w:t>RAN4#104e meeting agenda</w:t>
      </w:r>
    </w:p>
    <w:p>
      <w:pPr>
        <w:rPr>
          <w:sz w:val="20"/>
          <w:szCs w:val="20"/>
        </w:rPr>
      </w:pPr>
    </w:p>
    <w:p>
      <w:pPr>
        <w:pStyle w:val="52"/>
        <w:tabs>
          <w:tab w:val="left" w:pos="567"/>
          <w:tab w:val="clear" w:pos="1985"/>
        </w:tabs>
        <w:adjustRightInd w:val="0"/>
        <w:snapToGrid w:val="0"/>
        <w:spacing w:before="120" w:after="156" w:afterLines="50"/>
        <w:ind w:left="510" w:hanging="510"/>
      </w:pPr>
      <w:r>
        <w:t>Appendix</w:t>
      </w:r>
    </w:p>
    <w:p>
      <w:pPr>
        <w:snapToGrid w:val="0"/>
        <w:jc w:val="center"/>
        <w:rPr>
          <w:b/>
          <w:sz w:val="20"/>
          <w:szCs w:val="20"/>
        </w:rPr>
      </w:pPr>
      <w:r>
        <w:rPr>
          <w:b/>
          <w:sz w:val="20"/>
          <w:szCs w:val="20"/>
        </w:rPr>
        <w:t xml:space="preserve">Table 2 </w:t>
      </w:r>
      <w:r>
        <w:rPr>
          <w:rFonts w:hint="eastAsia"/>
          <w:b/>
          <w:sz w:val="20"/>
          <w:szCs w:val="20"/>
        </w:rPr>
        <w:t xml:space="preserve"> </w:t>
      </w:r>
      <w:r>
        <w:rPr>
          <w:b/>
          <w:sz w:val="20"/>
          <w:szCs w:val="20"/>
        </w:rPr>
        <w:t>Simulation assumption</w:t>
      </w:r>
      <w:r>
        <w:rPr>
          <w:rFonts w:hint="eastAsia"/>
          <w:b/>
          <w:sz w:val="20"/>
          <w:szCs w:val="20"/>
        </w:rPr>
        <w:t xml:space="preserve"> for FR1-1</w:t>
      </w:r>
    </w:p>
    <w:tbl>
      <w:tblPr>
        <w:tblStyle w:val="2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85"/>
        <w:gridCol w:w="53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tcPr>
          <w:p>
            <w:pPr>
              <w:snapToGrid w:val="0"/>
              <w:jc w:val="center"/>
              <w:rPr>
                <w:b/>
                <w:sz w:val="20"/>
                <w:szCs w:val="20"/>
              </w:rPr>
            </w:pPr>
            <w:r>
              <w:rPr>
                <w:b/>
                <w:sz w:val="20"/>
                <w:szCs w:val="20"/>
              </w:rPr>
              <w:t>Parameter</w:t>
            </w:r>
          </w:p>
        </w:tc>
        <w:tc>
          <w:tcPr>
            <w:tcW w:w="5386" w:type="dxa"/>
            <w:shd w:val="clear" w:color="auto" w:fill="auto"/>
          </w:tcPr>
          <w:p>
            <w:pPr>
              <w:snapToGrid w:val="0"/>
              <w:jc w:val="center"/>
              <w:rPr>
                <w:b/>
                <w:sz w:val="20"/>
                <w:szCs w:val="20"/>
              </w:rPr>
            </w:pPr>
            <w:r>
              <w:rPr>
                <w:b/>
                <w:sz w:val="20"/>
                <w:szCs w:val="20"/>
              </w:rPr>
              <w:t>Setting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tcPr>
          <w:p>
            <w:pPr>
              <w:snapToGrid w:val="0"/>
              <w:jc w:val="center"/>
              <w:rPr>
                <w:sz w:val="20"/>
                <w:szCs w:val="20"/>
              </w:rPr>
            </w:pPr>
            <w:r>
              <w:rPr>
                <w:sz w:val="20"/>
                <w:szCs w:val="20"/>
              </w:rPr>
              <w:t>Scenario</w:t>
            </w:r>
          </w:p>
        </w:tc>
        <w:tc>
          <w:tcPr>
            <w:tcW w:w="5386" w:type="dxa"/>
            <w:shd w:val="clear" w:color="auto" w:fill="auto"/>
          </w:tcPr>
          <w:p>
            <w:pPr>
              <w:snapToGrid w:val="0"/>
              <w:jc w:val="center"/>
              <w:rPr>
                <w:sz w:val="20"/>
                <w:szCs w:val="20"/>
                <w:lang w:val="en-GB" w:eastAsia="en-US"/>
              </w:rPr>
            </w:pPr>
            <w:r>
              <w:rPr>
                <w:sz w:val="20"/>
                <w:szCs w:val="20"/>
              </w:rPr>
              <w:t>InF-SH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tcPr>
          <w:p>
            <w:pPr>
              <w:snapToGrid w:val="0"/>
              <w:jc w:val="center"/>
              <w:rPr>
                <w:sz w:val="20"/>
                <w:szCs w:val="20"/>
              </w:rPr>
            </w:pPr>
            <w:r>
              <w:rPr>
                <w:sz w:val="20"/>
                <w:szCs w:val="20"/>
              </w:rPr>
              <w:t>Carrier frequency</w:t>
            </w:r>
          </w:p>
        </w:tc>
        <w:tc>
          <w:tcPr>
            <w:tcW w:w="5386" w:type="dxa"/>
            <w:shd w:val="clear" w:color="auto" w:fill="auto"/>
          </w:tcPr>
          <w:p>
            <w:pPr>
              <w:snapToGrid w:val="0"/>
              <w:jc w:val="center"/>
              <w:rPr>
                <w:sz w:val="20"/>
                <w:szCs w:val="20"/>
                <w:lang w:val="en-GB" w:eastAsia="en-US"/>
              </w:rPr>
            </w:pPr>
            <w:r>
              <w:rPr>
                <w:sz w:val="20"/>
                <w:szCs w:val="20"/>
              </w:rPr>
              <w:t>3.5GHz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tcPr>
          <w:p>
            <w:pPr>
              <w:snapToGrid w:val="0"/>
              <w:jc w:val="center"/>
              <w:rPr>
                <w:sz w:val="20"/>
                <w:szCs w:val="20"/>
              </w:rPr>
            </w:pPr>
            <w:r>
              <w:rPr>
                <w:sz w:val="20"/>
                <w:szCs w:val="20"/>
              </w:rPr>
              <w:t>Bandwidth</w:t>
            </w:r>
          </w:p>
        </w:tc>
        <w:tc>
          <w:tcPr>
            <w:tcW w:w="5386" w:type="dxa"/>
            <w:shd w:val="clear" w:color="auto" w:fill="auto"/>
          </w:tcPr>
          <w:p>
            <w:pPr>
              <w:snapToGrid w:val="0"/>
              <w:jc w:val="center"/>
              <w:rPr>
                <w:sz w:val="20"/>
                <w:szCs w:val="20"/>
                <w:lang w:val="en-GB" w:eastAsia="en-US"/>
              </w:rPr>
            </w:pPr>
            <w:r>
              <w:rPr>
                <w:sz w:val="20"/>
                <w:szCs w:val="20"/>
              </w:rPr>
              <w:t xml:space="preserve">50+50MHz </w:t>
            </w:r>
          </w:p>
          <w:p>
            <w:pPr>
              <w:snapToGrid w:val="0"/>
              <w:jc w:val="center"/>
              <w:rPr>
                <w:sz w:val="20"/>
                <w:szCs w:val="20"/>
              </w:rPr>
            </w:pPr>
            <w:r>
              <w:rPr>
                <w:sz w:val="20"/>
                <w:szCs w:val="20"/>
              </w:rPr>
              <w:t>100+100MH</w:t>
            </w:r>
            <w:r>
              <w:rPr>
                <w:rFonts w:hint="eastAsia"/>
                <w:sz w:val="20"/>
                <w:szCs w:val="20"/>
              </w:rPr>
              <w:t>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tcPr>
          <w:p>
            <w:pPr>
              <w:snapToGrid w:val="0"/>
              <w:jc w:val="center"/>
              <w:rPr>
                <w:sz w:val="20"/>
                <w:szCs w:val="20"/>
              </w:rPr>
            </w:pPr>
            <w:r>
              <w:rPr>
                <w:sz w:val="20"/>
                <w:szCs w:val="20"/>
              </w:rPr>
              <w:t>SCS</w:t>
            </w:r>
          </w:p>
        </w:tc>
        <w:tc>
          <w:tcPr>
            <w:tcW w:w="5386" w:type="dxa"/>
            <w:shd w:val="clear" w:color="auto" w:fill="auto"/>
          </w:tcPr>
          <w:p>
            <w:pPr>
              <w:snapToGrid w:val="0"/>
              <w:jc w:val="center"/>
              <w:rPr>
                <w:sz w:val="20"/>
                <w:szCs w:val="20"/>
                <w:lang w:val="en-GB" w:eastAsia="en-US"/>
              </w:rPr>
            </w:pPr>
            <w:r>
              <w:rPr>
                <w:sz w:val="20"/>
                <w:szCs w:val="20"/>
              </w:rPr>
              <w:t>30kHz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vAlign w:val="center"/>
          </w:tcPr>
          <w:p>
            <w:pPr>
              <w:snapToGrid w:val="0"/>
              <w:jc w:val="center"/>
              <w:rPr>
                <w:sz w:val="20"/>
                <w:szCs w:val="20"/>
              </w:rPr>
            </w:pPr>
            <w:r>
              <w:rPr>
                <w:rFonts w:hint="eastAsia"/>
                <w:sz w:val="20"/>
                <w:szCs w:val="20"/>
              </w:rPr>
              <w:t>Description of measurement algorithm</w:t>
            </w:r>
          </w:p>
        </w:tc>
        <w:tc>
          <w:tcPr>
            <w:tcW w:w="5386" w:type="dxa"/>
            <w:shd w:val="clear" w:color="auto" w:fill="auto"/>
            <w:vAlign w:val="center"/>
          </w:tcPr>
          <w:p>
            <w:pPr>
              <w:snapToGrid w:val="0"/>
              <w:jc w:val="center"/>
              <w:rPr>
                <w:sz w:val="20"/>
                <w:szCs w:val="20"/>
                <w:lang w:val="en-GB" w:eastAsia="en-US"/>
              </w:rPr>
            </w:pPr>
            <w:r>
              <w:rPr>
                <w:rFonts w:hint="eastAsia"/>
                <w:sz w:val="20"/>
                <w:szCs w:val="20"/>
              </w:rPr>
              <w:t>MUSIC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vAlign w:val="center"/>
          </w:tcPr>
          <w:p>
            <w:pPr>
              <w:snapToGrid w:val="0"/>
              <w:jc w:val="center"/>
              <w:rPr>
                <w:sz w:val="20"/>
                <w:szCs w:val="20"/>
              </w:rPr>
            </w:pPr>
            <w:r>
              <w:rPr>
                <w:rFonts w:hint="eastAsia"/>
                <w:sz w:val="20"/>
                <w:szCs w:val="20"/>
              </w:rPr>
              <w:t>Description of positioning technique</w:t>
            </w:r>
          </w:p>
        </w:tc>
        <w:tc>
          <w:tcPr>
            <w:tcW w:w="5386" w:type="dxa"/>
            <w:shd w:val="clear" w:color="auto" w:fill="auto"/>
            <w:vAlign w:val="center"/>
          </w:tcPr>
          <w:p>
            <w:pPr>
              <w:snapToGrid w:val="0"/>
              <w:jc w:val="center"/>
              <w:rPr>
                <w:sz w:val="20"/>
                <w:szCs w:val="20"/>
              </w:rPr>
            </w:pPr>
            <w:r>
              <w:rPr>
                <w:rFonts w:hint="eastAsia"/>
                <w:sz w:val="20"/>
                <w:szCs w:val="20"/>
              </w:rPr>
              <w:t>TDOA, Gauss-Newton algorithm</w:t>
            </w:r>
          </w:p>
        </w:tc>
      </w:tr>
    </w:tbl>
    <w:p>
      <w:pPr>
        <w:pStyle w:val="50"/>
        <w:rPr>
          <w:sz w:val="20"/>
          <w:szCs w:val="20"/>
        </w:rPr>
      </w:pPr>
    </w:p>
    <w:p>
      <w:pPr>
        <w:snapToGrid w:val="0"/>
        <w:jc w:val="center"/>
        <w:rPr>
          <w:b/>
          <w:sz w:val="20"/>
          <w:szCs w:val="20"/>
        </w:rPr>
      </w:pPr>
      <w:r>
        <w:rPr>
          <w:b/>
          <w:sz w:val="20"/>
          <w:szCs w:val="20"/>
        </w:rPr>
        <w:t xml:space="preserve">Table </w:t>
      </w:r>
      <w:r>
        <w:rPr>
          <w:rFonts w:hint="eastAsia"/>
          <w:b/>
          <w:sz w:val="20"/>
          <w:szCs w:val="20"/>
        </w:rPr>
        <w:t>3</w:t>
      </w:r>
      <w:r>
        <w:rPr>
          <w:b/>
          <w:sz w:val="20"/>
          <w:szCs w:val="20"/>
        </w:rPr>
        <w:t xml:space="preserve"> </w:t>
      </w:r>
      <w:r>
        <w:rPr>
          <w:rFonts w:hint="eastAsia"/>
          <w:b/>
          <w:sz w:val="20"/>
          <w:szCs w:val="20"/>
        </w:rPr>
        <w:t xml:space="preserve"> </w:t>
      </w:r>
      <w:r>
        <w:rPr>
          <w:b/>
          <w:sz w:val="20"/>
          <w:szCs w:val="20"/>
        </w:rPr>
        <w:t>Simulation assumption</w:t>
      </w:r>
      <w:r>
        <w:rPr>
          <w:rFonts w:hint="eastAsia"/>
          <w:b/>
          <w:sz w:val="20"/>
          <w:szCs w:val="20"/>
        </w:rPr>
        <w:t xml:space="preserve"> for FR2-1</w:t>
      </w:r>
    </w:p>
    <w:tbl>
      <w:tblPr>
        <w:tblStyle w:val="2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85"/>
        <w:gridCol w:w="53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tcPr>
          <w:p>
            <w:pPr>
              <w:snapToGrid w:val="0"/>
              <w:jc w:val="center"/>
              <w:rPr>
                <w:b/>
                <w:sz w:val="20"/>
                <w:szCs w:val="20"/>
              </w:rPr>
            </w:pPr>
            <w:r>
              <w:rPr>
                <w:b/>
                <w:sz w:val="20"/>
                <w:szCs w:val="20"/>
              </w:rPr>
              <w:t>Parameter</w:t>
            </w:r>
          </w:p>
        </w:tc>
        <w:tc>
          <w:tcPr>
            <w:tcW w:w="5386" w:type="dxa"/>
            <w:shd w:val="clear" w:color="auto" w:fill="auto"/>
          </w:tcPr>
          <w:p>
            <w:pPr>
              <w:snapToGrid w:val="0"/>
              <w:jc w:val="center"/>
              <w:rPr>
                <w:b/>
                <w:sz w:val="20"/>
                <w:szCs w:val="20"/>
              </w:rPr>
            </w:pPr>
            <w:r>
              <w:rPr>
                <w:b/>
                <w:sz w:val="20"/>
                <w:szCs w:val="20"/>
              </w:rPr>
              <w:t>Setting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985" w:type="dxa"/>
            <w:shd w:val="clear" w:color="auto" w:fill="auto"/>
          </w:tcPr>
          <w:p>
            <w:pPr>
              <w:snapToGrid w:val="0"/>
              <w:jc w:val="center"/>
              <w:rPr>
                <w:sz w:val="20"/>
                <w:szCs w:val="20"/>
              </w:rPr>
            </w:pPr>
            <w:r>
              <w:rPr>
                <w:sz w:val="20"/>
                <w:szCs w:val="20"/>
              </w:rPr>
              <w:t>Scenario</w:t>
            </w:r>
          </w:p>
        </w:tc>
        <w:tc>
          <w:tcPr>
            <w:tcW w:w="5386" w:type="dxa"/>
            <w:shd w:val="clear" w:color="auto" w:fill="auto"/>
          </w:tcPr>
          <w:p>
            <w:pPr>
              <w:snapToGrid w:val="0"/>
              <w:jc w:val="center"/>
              <w:rPr>
                <w:sz w:val="20"/>
                <w:szCs w:val="20"/>
                <w:lang w:val="en-GB" w:eastAsia="en-US"/>
              </w:rPr>
            </w:pPr>
            <w:r>
              <w:rPr>
                <w:sz w:val="20"/>
                <w:szCs w:val="20"/>
              </w:rPr>
              <w:t>InF-SH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tcPr>
          <w:p>
            <w:pPr>
              <w:snapToGrid w:val="0"/>
              <w:jc w:val="center"/>
              <w:rPr>
                <w:sz w:val="20"/>
                <w:szCs w:val="20"/>
              </w:rPr>
            </w:pPr>
            <w:r>
              <w:rPr>
                <w:sz w:val="20"/>
                <w:szCs w:val="20"/>
              </w:rPr>
              <w:t>Carrier frequency</w:t>
            </w:r>
          </w:p>
        </w:tc>
        <w:tc>
          <w:tcPr>
            <w:tcW w:w="5386" w:type="dxa"/>
            <w:shd w:val="clear" w:color="auto" w:fill="auto"/>
          </w:tcPr>
          <w:p>
            <w:pPr>
              <w:snapToGrid w:val="0"/>
              <w:jc w:val="center"/>
              <w:rPr>
                <w:sz w:val="20"/>
                <w:szCs w:val="20"/>
                <w:lang w:val="en-GB" w:eastAsia="en-US"/>
              </w:rPr>
            </w:pPr>
            <w:r>
              <w:rPr>
                <w:rFonts w:hint="eastAsia"/>
                <w:sz w:val="20"/>
                <w:szCs w:val="20"/>
              </w:rPr>
              <w:t>28</w:t>
            </w:r>
            <w:r>
              <w:rPr>
                <w:sz w:val="20"/>
                <w:szCs w:val="20"/>
              </w:rPr>
              <w:t>GHz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985" w:type="dxa"/>
            <w:shd w:val="clear" w:color="auto" w:fill="auto"/>
          </w:tcPr>
          <w:p>
            <w:pPr>
              <w:snapToGrid w:val="0"/>
              <w:jc w:val="center"/>
              <w:rPr>
                <w:sz w:val="20"/>
                <w:szCs w:val="20"/>
              </w:rPr>
            </w:pPr>
            <w:r>
              <w:rPr>
                <w:sz w:val="20"/>
                <w:szCs w:val="20"/>
              </w:rPr>
              <w:t>Bandwidth</w:t>
            </w:r>
          </w:p>
        </w:tc>
        <w:tc>
          <w:tcPr>
            <w:tcW w:w="5386" w:type="dxa"/>
            <w:shd w:val="clear" w:color="auto" w:fill="auto"/>
          </w:tcPr>
          <w:p>
            <w:pPr>
              <w:snapToGrid w:val="0"/>
              <w:jc w:val="center"/>
              <w:rPr>
                <w:sz w:val="20"/>
                <w:szCs w:val="20"/>
              </w:rPr>
            </w:pPr>
            <w:r>
              <w:rPr>
                <w:rFonts w:hint="eastAsia"/>
                <w:sz w:val="20"/>
                <w:szCs w:val="20"/>
              </w:rPr>
              <w:t>2</w:t>
            </w:r>
            <w:r>
              <w:rPr>
                <w:sz w:val="20"/>
                <w:szCs w:val="20"/>
              </w:rPr>
              <w:t>00+</w:t>
            </w:r>
            <w:r>
              <w:rPr>
                <w:rFonts w:hint="eastAsia"/>
                <w:sz w:val="20"/>
                <w:szCs w:val="20"/>
              </w:rPr>
              <w:t>2</w:t>
            </w:r>
            <w:r>
              <w:rPr>
                <w:sz w:val="20"/>
                <w:szCs w:val="20"/>
              </w:rPr>
              <w:t>00MH</w:t>
            </w:r>
            <w:r>
              <w:rPr>
                <w:rFonts w:hint="eastAsia"/>
                <w:sz w:val="20"/>
                <w:szCs w:val="20"/>
              </w:rPr>
              <w:t>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tcPr>
          <w:p>
            <w:pPr>
              <w:snapToGrid w:val="0"/>
              <w:jc w:val="center"/>
              <w:rPr>
                <w:sz w:val="20"/>
                <w:szCs w:val="20"/>
              </w:rPr>
            </w:pPr>
            <w:r>
              <w:rPr>
                <w:sz w:val="20"/>
                <w:szCs w:val="20"/>
              </w:rPr>
              <w:t>SCS</w:t>
            </w:r>
          </w:p>
        </w:tc>
        <w:tc>
          <w:tcPr>
            <w:tcW w:w="5386" w:type="dxa"/>
            <w:shd w:val="clear" w:color="auto" w:fill="auto"/>
          </w:tcPr>
          <w:p>
            <w:pPr>
              <w:snapToGrid w:val="0"/>
              <w:jc w:val="center"/>
              <w:rPr>
                <w:sz w:val="20"/>
                <w:szCs w:val="20"/>
                <w:lang w:val="en-GB" w:eastAsia="en-US"/>
              </w:rPr>
            </w:pPr>
            <w:r>
              <w:rPr>
                <w:rFonts w:hint="eastAsia"/>
                <w:sz w:val="20"/>
                <w:szCs w:val="20"/>
              </w:rPr>
              <w:t>120</w:t>
            </w:r>
            <w:r>
              <w:rPr>
                <w:sz w:val="20"/>
                <w:szCs w:val="20"/>
              </w:rPr>
              <w:t>kHz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985" w:type="dxa"/>
            <w:shd w:val="clear" w:color="auto" w:fill="auto"/>
            <w:vAlign w:val="center"/>
          </w:tcPr>
          <w:p>
            <w:pPr>
              <w:snapToGrid w:val="0"/>
              <w:jc w:val="center"/>
              <w:rPr>
                <w:sz w:val="20"/>
                <w:szCs w:val="20"/>
              </w:rPr>
            </w:pPr>
            <w:r>
              <w:rPr>
                <w:rFonts w:hint="eastAsia"/>
                <w:sz w:val="20"/>
                <w:szCs w:val="20"/>
              </w:rPr>
              <w:t>Description of measurement algorithm</w:t>
            </w:r>
          </w:p>
        </w:tc>
        <w:tc>
          <w:tcPr>
            <w:tcW w:w="5386" w:type="dxa"/>
            <w:shd w:val="clear" w:color="auto" w:fill="auto"/>
            <w:vAlign w:val="center"/>
          </w:tcPr>
          <w:p>
            <w:pPr>
              <w:snapToGrid w:val="0"/>
              <w:jc w:val="center"/>
              <w:rPr>
                <w:sz w:val="20"/>
                <w:szCs w:val="20"/>
                <w:lang w:val="en-GB" w:eastAsia="en-US"/>
              </w:rPr>
            </w:pPr>
            <w:r>
              <w:rPr>
                <w:rFonts w:hint="eastAsia"/>
                <w:sz w:val="20"/>
                <w:szCs w:val="20"/>
              </w:rPr>
              <w:t>MUSIC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vAlign w:val="center"/>
          </w:tcPr>
          <w:p>
            <w:pPr>
              <w:snapToGrid w:val="0"/>
              <w:jc w:val="center"/>
              <w:rPr>
                <w:sz w:val="20"/>
                <w:szCs w:val="20"/>
              </w:rPr>
            </w:pPr>
            <w:r>
              <w:rPr>
                <w:rFonts w:hint="eastAsia"/>
                <w:sz w:val="20"/>
                <w:szCs w:val="20"/>
              </w:rPr>
              <w:t>Description of positioning technique</w:t>
            </w:r>
          </w:p>
        </w:tc>
        <w:tc>
          <w:tcPr>
            <w:tcW w:w="5386" w:type="dxa"/>
            <w:shd w:val="clear" w:color="auto" w:fill="auto"/>
            <w:vAlign w:val="center"/>
          </w:tcPr>
          <w:p>
            <w:pPr>
              <w:snapToGrid w:val="0"/>
              <w:jc w:val="center"/>
              <w:rPr>
                <w:sz w:val="20"/>
                <w:szCs w:val="20"/>
              </w:rPr>
            </w:pPr>
            <w:r>
              <w:rPr>
                <w:rFonts w:hint="eastAsia"/>
                <w:sz w:val="20"/>
                <w:szCs w:val="20"/>
              </w:rPr>
              <w:t>TDOA, Gauss-Newton algorithm</w:t>
            </w:r>
          </w:p>
        </w:tc>
      </w:tr>
    </w:tbl>
    <w:p>
      <w:pPr>
        <w:pStyle w:val="50"/>
        <w:rPr>
          <w:sz w:val="20"/>
          <w:szCs w:val="20"/>
        </w:rPr>
      </w:pPr>
    </w:p>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DE83EA3"/>
    <w:multiLevelType w:val="multilevel"/>
    <w:tmpl w:val="0DE83E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F4070"/>
    <w:rsid w:val="021042F2"/>
    <w:rsid w:val="021D2604"/>
    <w:rsid w:val="02293A2A"/>
    <w:rsid w:val="022D5BF3"/>
    <w:rsid w:val="022F6559"/>
    <w:rsid w:val="022F66E0"/>
    <w:rsid w:val="0238292F"/>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B40DC"/>
    <w:rsid w:val="04D66461"/>
    <w:rsid w:val="051034CD"/>
    <w:rsid w:val="051F43BC"/>
    <w:rsid w:val="052432F7"/>
    <w:rsid w:val="05280A89"/>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F30672"/>
    <w:rsid w:val="06F35A7A"/>
    <w:rsid w:val="06F35AB6"/>
    <w:rsid w:val="06F66B05"/>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B062A"/>
    <w:rsid w:val="07916BE4"/>
    <w:rsid w:val="07A2728D"/>
    <w:rsid w:val="07AA3E51"/>
    <w:rsid w:val="07BE51B2"/>
    <w:rsid w:val="07D835FB"/>
    <w:rsid w:val="07DD018B"/>
    <w:rsid w:val="07E014BE"/>
    <w:rsid w:val="07E04AA8"/>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E046C"/>
    <w:rsid w:val="08813C88"/>
    <w:rsid w:val="08942BDF"/>
    <w:rsid w:val="089852F1"/>
    <w:rsid w:val="08990610"/>
    <w:rsid w:val="089B5449"/>
    <w:rsid w:val="089D6B7D"/>
    <w:rsid w:val="08B21918"/>
    <w:rsid w:val="08B40442"/>
    <w:rsid w:val="08B94847"/>
    <w:rsid w:val="08C14001"/>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245F1"/>
    <w:rsid w:val="0CE4001E"/>
    <w:rsid w:val="0D0213CD"/>
    <w:rsid w:val="0D04575D"/>
    <w:rsid w:val="0D0612B8"/>
    <w:rsid w:val="0D066A9C"/>
    <w:rsid w:val="0D0714BC"/>
    <w:rsid w:val="0D136EF9"/>
    <w:rsid w:val="0D1A52C8"/>
    <w:rsid w:val="0D1C1D16"/>
    <w:rsid w:val="0D21615D"/>
    <w:rsid w:val="0D2454BF"/>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F0E9A"/>
    <w:rsid w:val="0E400D03"/>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D0ECD"/>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5333"/>
    <w:rsid w:val="0FEC322B"/>
    <w:rsid w:val="0FEC6EF6"/>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47341"/>
    <w:rsid w:val="11996649"/>
    <w:rsid w:val="11AA61BD"/>
    <w:rsid w:val="11AC7561"/>
    <w:rsid w:val="11AE6531"/>
    <w:rsid w:val="11AF439E"/>
    <w:rsid w:val="11B50817"/>
    <w:rsid w:val="11B66269"/>
    <w:rsid w:val="11BA0839"/>
    <w:rsid w:val="11CA3974"/>
    <w:rsid w:val="11E4369D"/>
    <w:rsid w:val="11E43DAC"/>
    <w:rsid w:val="11EE4F27"/>
    <w:rsid w:val="11F267E8"/>
    <w:rsid w:val="11F427FC"/>
    <w:rsid w:val="12066C25"/>
    <w:rsid w:val="1210456D"/>
    <w:rsid w:val="12134828"/>
    <w:rsid w:val="12143598"/>
    <w:rsid w:val="121729B6"/>
    <w:rsid w:val="12220941"/>
    <w:rsid w:val="122A6318"/>
    <w:rsid w:val="122C6138"/>
    <w:rsid w:val="123549A4"/>
    <w:rsid w:val="123616D6"/>
    <w:rsid w:val="12396B0A"/>
    <w:rsid w:val="123A52C3"/>
    <w:rsid w:val="123E0CDC"/>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7F1B10"/>
    <w:rsid w:val="1382164E"/>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E0A7B"/>
    <w:rsid w:val="14A82A63"/>
    <w:rsid w:val="14A86EA4"/>
    <w:rsid w:val="14AC358C"/>
    <w:rsid w:val="14B76730"/>
    <w:rsid w:val="14C767C8"/>
    <w:rsid w:val="14DE753E"/>
    <w:rsid w:val="14F5102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D4474D"/>
    <w:rsid w:val="15D7597F"/>
    <w:rsid w:val="160C437B"/>
    <w:rsid w:val="16160429"/>
    <w:rsid w:val="161C3234"/>
    <w:rsid w:val="163562A4"/>
    <w:rsid w:val="1641433F"/>
    <w:rsid w:val="164D6264"/>
    <w:rsid w:val="165511E0"/>
    <w:rsid w:val="165C4863"/>
    <w:rsid w:val="165F5560"/>
    <w:rsid w:val="1663476A"/>
    <w:rsid w:val="166C0D1B"/>
    <w:rsid w:val="166E1C29"/>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C6856"/>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533B98"/>
    <w:rsid w:val="186B15D6"/>
    <w:rsid w:val="186C1DBE"/>
    <w:rsid w:val="186C5153"/>
    <w:rsid w:val="186E738D"/>
    <w:rsid w:val="187640ED"/>
    <w:rsid w:val="18804AA7"/>
    <w:rsid w:val="188C4F53"/>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931E6"/>
    <w:rsid w:val="18FA042B"/>
    <w:rsid w:val="18FE4771"/>
    <w:rsid w:val="19046384"/>
    <w:rsid w:val="1906589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A7296F"/>
    <w:rsid w:val="19B94DE5"/>
    <w:rsid w:val="19BB7983"/>
    <w:rsid w:val="19CA4702"/>
    <w:rsid w:val="19D76F77"/>
    <w:rsid w:val="19DE7440"/>
    <w:rsid w:val="19ED386F"/>
    <w:rsid w:val="19FF1298"/>
    <w:rsid w:val="1A045B87"/>
    <w:rsid w:val="1A225E86"/>
    <w:rsid w:val="1A484A02"/>
    <w:rsid w:val="1A4D1CE1"/>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359A1"/>
    <w:rsid w:val="1ABD31B9"/>
    <w:rsid w:val="1ABF3A95"/>
    <w:rsid w:val="1AC91D4C"/>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D6D74"/>
    <w:rsid w:val="1CD97139"/>
    <w:rsid w:val="1CE2616E"/>
    <w:rsid w:val="1CF333A5"/>
    <w:rsid w:val="1D023336"/>
    <w:rsid w:val="1D031DDA"/>
    <w:rsid w:val="1D0B731D"/>
    <w:rsid w:val="1D1D6A68"/>
    <w:rsid w:val="1D1F1D0C"/>
    <w:rsid w:val="1D2054C4"/>
    <w:rsid w:val="1D24658B"/>
    <w:rsid w:val="1D2E77E8"/>
    <w:rsid w:val="1D4969F4"/>
    <w:rsid w:val="1D4C117F"/>
    <w:rsid w:val="1D513E68"/>
    <w:rsid w:val="1D563E2F"/>
    <w:rsid w:val="1D5A17CD"/>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6740D"/>
    <w:rsid w:val="1EEC1621"/>
    <w:rsid w:val="1EED7A29"/>
    <w:rsid w:val="1F0D14F3"/>
    <w:rsid w:val="1F141EF2"/>
    <w:rsid w:val="1F303EA7"/>
    <w:rsid w:val="1F30637A"/>
    <w:rsid w:val="1F3111CE"/>
    <w:rsid w:val="1F3C6AF7"/>
    <w:rsid w:val="1F405E44"/>
    <w:rsid w:val="1F4A3D83"/>
    <w:rsid w:val="1F4E681F"/>
    <w:rsid w:val="1F5324C1"/>
    <w:rsid w:val="1F561E2A"/>
    <w:rsid w:val="1F5E088A"/>
    <w:rsid w:val="1F661994"/>
    <w:rsid w:val="1F672A0E"/>
    <w:rsid w:val="1F6833F6"/>
    <w:rsid w:val="1F68659A"/>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76FD3"/>
    <w:rsid w:val="1FE91483"/>
    <w:rsid w:val="1FED166B"/>
    <w:rsid w:val="1FF05FBA"/>
    <w:rsid w:val="1FF2649D"/>
    <w:rsid w:val="2000119F"/>
    <w:rsid w:val="20007200"/>
    <w:rsid w:val="20023827"/>
    <w:rsid w:val="20107ED3"/>
    <w:rsid w:val="201359DF"/>
    <w:rsid w:val="20140382"/>
    <w:rsid w:val="201C304F"/>
    <w:rsid w:val="201C690F"/>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9348D"/>
    <w:rsid w:val="20EB3474"/>
    <w:rsid w:val="20EF451E"/>
    <w:rsid w:val="20F667B9"/>
    <w:rsid w:val="20F90A4D"/>
    <w:rsid w:val="20FB7568"/>
    <w:rsid w:val="210D2CDA"/>
    <w:rsid w:val="211C7EF8"/>
    <w:rsid w:val="212F6A59"/>
    <w:rsid w:val="21306305"/>
    <w:rsid w:val="213D54AD"/>
    <w:rsid w:val="214169BB"/>
    <w:rsid w:val="2144141D"/>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C5FC2"/>
    <w:rsid w:val="21F54612"/>
    <w:rsid w:val="21FF71D8"/>
    <w:rsid w:val="22021B37"/>
    <w:rsid w:val="2209399D"/>
    <w:rsid w:val="22101F8E"/>
    <w:rsid w:val="221E498F"/>
    <w:rsid w:val="2225227E"/>
    <w:rsid w:val="22315922"/>
    <w:rsid w:val="22343124"/>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731A96"/>
    <w:rsid w:val="247A5C3A"/>
    <w:rsid w:val="247C5EE2"/>
    <w:rsid w:val="247F6CC6"/>
    <w:rsid w:val="24837A35"/>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A3283"/>
    <w:rsid w:val="258E66DC"/>
    <w:rsid w:val="258F15BB"/>
    <w:rsid w:val="259231BD"/>
    <w:rsid w:val="25A77DD4"/>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9404D"/>
    <w:rsid w:val="26CD53A8"/>
    <w:rsid w:val="26D323BB"/>
    <w:rsid w:val="26D45590"/>
    <w:rsid w:val="26F40E3F"/>
    <w:rsid w:val="26F40EBD"/>
    <w:rsid w:val="26FA2DE3"/>
    <w:rsid w:val="26FF74CD"/>
    <w:rsid w:val="27125B0D"/>
    <w:rsid w:val="27130E1A"/>
    <w:rsid w:val="27222699"/>
    <w:rsid w:val="272A3F42"/>
    <w:rsid w:val="273216D6"/>
    <w:rsid w:val="273D1CBA"/>
    <w:rsid w:val="27462901"/>
    <w:rsid w:val="2749419F"/>
    <w:rsid w:val="274A7B1A"/>
    <w:rsid w:val="275439E1"/>
    <w:rsid w:val="275658F1"/>
    <w:rsid w:val="276320D7"/>
    <w:rsid w:val="278A6416"/>
    <w:rsid w:val="279408D2"/>
    <w:rsid w:val="279A2ED3"/>
    <w:rsid w:val="27A23025"/>
    <w:rsid w:val="27B02558"/>
    <w:rsid w:val="27B03EC1"/>
    <w:rsid w:val="27B91021"/>
    <w:rsid w:val="27C06D17"/>
    <w:rsid w:val="27C66099"/>
    <w:rsid w:val="27CA7CDA"/>
    <w:rsid w:val="27FE4240"/>
    <w:rsid w:val="280008FF"/>
    <w:rsid w:val="28050D91"/>
    <w:rsid w:val="281035C6"/>
    <w:rsid w:val="28140E2A"/>
    <w:rsid w:val="28255041"/>
    <w:rsid w:val="283A1E3E"/>
    <w:rsid w:val="284543A1"/>
    <w:rsid w:val="28553E1D"/>
    <w:rsid w:val="286B3B61"/>
    <w:rsid w:val="28765DD5"/>
    <w:rsid w:val="28821314"/>
    <w:rsid w:val="2891501A"/>
    <w:rsid w:val="28937E6D"/>
    <w:rsid w:val="28AD2029"/>
    <w:rsid w:val="28B220F4"/>
    <w:rsid w:val="28C075A4"/>
    <w:rsid w:val="28CE2A8C"/>
    <w:rsid w:val="28D139F1"/>
    <w:rsid w:val="28D5169B"/>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F3A78"/>
    <w:rsid w:val="2E1530A6"/>
    <w:rsid w:val="2E160B5E"/>
    <w:rsid w:val="2E190FE7"/>
    <w:rsid w:val="2E2630D7"/>
    <w:rsid w:val="2E2806DD"/>
    <w:rsid w:val="2E2A4425"/>
    <w:rsid w:val="2E2F3046"/>
    <w:rsid w:val="2E302808"/>
    <w:rsid w:val="2E3A3030"/>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95633"/>
    <w:rsid w:val="30010F70"/>
    <w:rsid w:val="300F7F13"/>
    <w:rsid w:val="30151A88"/>
    <w:rsid w:val="301E3C00"/>
    <w:rsid w:val="302757BF"/>
    <w:rsid w:val="302E1CAD"/>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B37C6"/>
    <w:rsid w:val="331C390F"/>
    <w:rsid w:val="333A0536"/>
    <w:rsid w:val="333E0FE1"/>
    <w:rsid w:val="334D7767"/>
    <w:rsid w:val="33610DDA"/>
    <w:rsid w:val="3362171F"/>
    <w:rsid w:val="3366319E"/>
    <w:rsid w:val="33767D1F"/>
    <w:rsid w:val="337F446B"/>
    <w:rsid w:val="338E29B0"/>
    <w:rsid w:val="339902E6"/>
    <w:rsid w:val="339D35FC"/>
    <w:rsid w:val="33A156DE"/>
    <w:rsid w:val="33B52233"/>
    <w:rsid w:val="33B70359"/>
    <w:rsid w:val="33BA1B32"/>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543D1"/>
    <w:rsid w:val="345A7367"/>
    <w:rsid w:val="345D2CD0"/>
    <w:rsid w:val="346C0AEA"/>
    <w:rsid w:val="347F540F"/>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602050E"/>
    <w:rsid w:val="36101A49"/>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D644F2"/>
    <w:rsid w:val="37E22653"/>
    <w:rsid w:val="37EF1B98"/>
    <w:rsid w:val="37F311D3"/>
    <w:rsid w:val="37F7242F"/>
    <w:rsid w:val="37FD1EC6"/>
    <w:rsid w:val="380579FE"/>
    <w:rsid w:val="380A2EB4"/>
    <w:rsid w:val="38157509"/>
    <w:rsid w:val="381D5340"/>
    <w:rsid w:val="382150C9"/>
    <w:rsid w:val="382372FE"/>
    <w:rsid w:val="38284CDE"/>
    <w:rsid w:val="382D297A"/>
    <w:rsid w:val="382F19E6"/>
    <w:rsid w:val="383B2EED"/>
    <w:rsid w:val="384C2D57"/>
    <w:rsid w:val="38557E21"/>
    <w:rsid w:val="3856501D"/>
    <w:rsid w:val="38590DD6"/>
    <w:rsid w:val="385F47DB"/>
    <w:rsid w:val="386A1921"/>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70CEA"/>
    <w:rsid w:val="39E9070B"/>
    <w:rsid w:val="39EC7454"/>
    <w:rsid w:val="39FD2FB3"/>
    <w:rsid w:val="3A026596"/>
    <w:rsid w:val="3A082ABE"/>
    <w:rsid w:val="3A0E766B"/>
    <w:rsid w:val="3A181AC2"/>
    <w:rsid w:val="3A1A155D"/>
    <w:rsid w:val="3A237175"/>
    <w:rsid w:val="3A616CAD"/>
    <w:rsid w:val="3A711C68"/>
    <w:rsid w:val="3A7927E8"/>
    <w:rsid w:val="3A796E46"/>
    <w:rsid w:val="3A8B3C77"/>
    <w:rsid w:val="3A971F5B"/>
    <w:rsid w:val="3A9A224E"/>
    <w:rsid w:val="3A9C1F8C"/>
    <w:rsid w:val="3A9D2551"/>
    <w:rsid w:val="3AA15A8E"/>
    <w:rsid w:val="3AA90278"/>
    <w:rsid w:val="3AA97F70"/>
    <w:rsid w:val="3AB26A14"/>
    <w:rsid w:val="3ABE76C3"/>
    <w:rsid w:val="3ABF42F5"/>
    <w:rsid w:val="3ACE7D16"/>
    <w:rsid w:val="3AD73D23"/>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C2663"/>
    <w:rsid w:val="3BA17E84"/>
    <w:rsid w:val="3BA35FC1"/>
    <w:rsid w:val="3BA566FD"/>
    <w:rsid w:val="3BA7008A"/>
    <w:rsid w:val="3BB47D9F"/>
    <w:rsid w:val="3BD039A1"/>
    <w:rsid w:val="3BDE5F43"/>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4689F"/>
    <w:rsid w:val="3C6E7D4D"/>
    <w:rsid w:val="3C740DAA"/>
    <w:rsid w:val="3C750E34"/>
    <w:rsid w:val="3C7E65EC"/>
    <w:rsid w:val="3C812838"/>
    <w:rsid w:val="3C8555A2"/>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F1231"/>
    <w:rsid w:val="3D184661"/>
    <w:rsid w:val="3D200D7C"/>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B17297"/>
    <w:rsid w:val="3DCD6921"/>
    <w:rsid w:val="3DD67156"/>
    <w:rsid w:val="3DD745F2"/>
    <w:rsid w:val="3DE37514"/>
    <w:rsid w:val="3DE548AC"/>
    <w:rsid w:val="3DE653F8"/>
    <w:rsid w:val="3DE72673"/>
    <w:rsid w:val="3DEB1255"/>
    <w:rsid w:val="3DEE1FBE"/>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776E0A"/>
    <w:rsid w:val="3F952814"/>
    <w:rsid w:val="3F9C0821"/>
    <w:rsid w:val="3FA41C63"/>
    <w:rsid w:val="3FAB100B"/>
    <w:rsid w:val="3FAB3D87"/>
    <w:rsid w:val="3FAB41A2"/>
    <w:rsid w:val="3FAE47F6"/>
    <w:rsid w:val="3FB03D8B"/>
    <w:rsid w:val="3FB77F5A"/>
    <w:rsid w:val="3FD53CFE"/>
    <w:rsid w:val="3FE210C1"/>
    <w:rsid w:val="3FEB1C22"/>
    <w:rsid w:val="3FEE2117"/>
    <w:rsid w:val="3FFA5C63"/>
    <w:rsid w:val="40073561"/>
    <w:rsid w:val="400A1CFC"/>
    <w:rsid w:val="401D6DEE"/>
    <w:rsid w:val="40372C35"/>
    <w:rsid w:val="403870E4"/>
    <w:rsid w:val="403D7C5C"/>
    <w:rsid w:val="40400533"/>
    <w:rsid w:val="4049754C"/>
    <w:rsid w:val="404B2521"/>
    <w:rsid w:val="40572DA6"/>
    <w:rsid w:val="405A424E"/>
    <w:rsid w:val="406D461C"/>
    <w:rsid w:val="406F7D87"/>
    <w:rsid w:val="40825FDB"/>
    <w:rsid w:val="40836EAD"/>
    <w:rsid w:val="40907287"/>
    <w:rsid w:val="409238F2"/>
    <w:rsid w:val="40953EC0"/>
    <w:rsid w:val="40AB3054"/>
    <w:rsid w:val="40BD153A"/>
    <w:rsid w:val="40C3250A"/>
    <w:rsid w:val="40CD7BD8"/>
    <w:rsid w:val="40CE24AF"/>
    <w:rsid w:val="40D07371"/>
    <w:rsid w:val="40D72999"/>
    <w:rsid w:val="40DF3ABC"/>
    <w:rsid w:val="40E75AF0"/>
    <w:rsid w:val="40E87142"/>
    <w:rsid w:val="40F00A85"/>
    <w:rsid w:val="40F1013C"/>
    <w:rsid w:val="40F35427"/>
    <w:rsid w:val="40FE1447"/>
    <w:rsid w:val="41053DED"/>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466AA"/>
    <w:rsid w:val="432E5E21"/>
    <w:rsid w:val="433C41B8"/>
    <w:rsid w:val="433D2335"/>
    <w:rsid w:val="433F57C3"/>
    <w:rsid w:val="43426A44"/>
    <w:rsid w:val="434660C5"/>
    <w:rsid w:val="43605DCC"/>
    <w:rsid w:val="43614CEE"/>
    <w:rsid w:val="43621947"/>
    <w:rsid w:val="4363090C"/>
    <w:rsid w:val="43664819"/>
    <w:rsid w:val="436A2192"/>
    <w:rsid w:val="436C40C2"/>
    <w:rsid w:val="438B6310"/>
    <w:rsid w:val="439322F0"/>
    <w:rsid w:val="43964600"/>
    <w:rsid w:val="4397231A"/>
    <w:rsid w:val="439C3431"/>
    <w:rsid w:val="439D0E7C"/>
    <w:rsid w:val="43A26A83"/>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705173"/>
    <w:rsid w:val="44740841"/>
    <w:rsid w:val="4476407C"/>
    <w:rsid w:val="447B4A66"/>
    <w:rsid w:val="447D4136"/>
    <w:rsid w:val="448B5845"/>
    <w:rsid w:val="448C73DD"/>
    <w:rsid w:val="44907237"/>
    <w:rsid w:val="449D7968"/>
    <w:rsid w:val="44B4690B"/>
    <w:rsid w:val="44B53006"/>
    <w:rsid w:val="44BA1648"/>
    <w:rsid w:val="44BB150F"/>
    <w:rsid w:val="44BE4FA9"/>
    <w:rsid w:val="44C43057"/>
    <w:rsid w:val="44C87C0F"/>
    <w:rsid w:val="44DF6F1B"/>
    <w:rsid w:val="44E54BDC"/>
    <w:rsid w:val="44E92DF3"/>
    <w:rsid w:val="44F82D0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33281"/>
    <w:rsid w:val="47065799"/>
    <w:rsid w:val="47073BE8"/>
    <w:rsid w:val="470872CF"/>
    <w:rsid w:val="470D53CA"/>
    <w:rsid w:val="471563E1"/>
    <w:rsid w:val="47167C67"/>
    <w:rsid w:val="47333B1B"/>
    <w:rsid w:val="47351654"/>
    <w:rsid w:val="473D0BD8"/>
    <w:rsid w:val="47457188"/>
    <w:rsid w:val="47644CFB"/>
    <w:rsid w:val="47666951"/>
    <w:rsid w:val="47683159"/>
    <w:rsid w:val="476A7D07"/>
    <w:rsid w:val="479766B4"/>
    <w:rsid w:val="479A472B"/>
    <w:rsid w:val="479D7800"/>
    <w:rsid w:val="47AA1593"/>
    <w:rsid w:val="47B44BED"/>
    <w:rsid w:val="47BC3466"/>
    <w:rsid w:val="47D730B6"/>
    <w:rsid w:val="47DD6A91"/>
    <w:rsid w:val="47EB0853"/>
    <w:rsid w:val="47EB5BFA"/>
    <w:rsid w:val="47FA20F9"/>
    <w:rsid w:val="47FF3A74"/>
    <w:rsid w:val="480B7A59"/>
    <w:rsid w:val="48111DC2"/>
    <w:rsid w:val="48156BFB"/>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C2FE2"/>
    <w:rsid w:val="4C6D5BD4"/>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E007E98"/>
    <w:rsid w:val="4E016672"/>
    <w:rsid w:val="4E066F25"/>
    <w:rsid w:val="4E0939E5"/>
    <w:rsid w:val="4E176DF3"/>
    <w:rsid w:val="4E1A2F68"/>
    <w:rsid w:val="4E1E7D0E"/>
    <w:rsid w:val="4E210A5C"/>
    <w:rsid w:val="4E3A2C21"/>
    <w:rsid w:val="4E412A4D"/>
    <w:rsid w:val="4E4475F5"/>
    <w:rsid w:val="4E587463"/>
    <w:rsid w:val="4E5A3449"/>
    <w:rsid w:val="4E68543B"/>
    <w:rsid w:val="4E6906EE"/>
    <w:rsid w:val="4E694E99"/>
    <w:rsid w:val="4E6D1740"/>
    <w:rsid w:val="4E7125DA"/>
    <w:rsid w:val="4E795FE9"/>
    <w:rsid w:val="4E797F06"/>
    <w:rsid w:val="4E8D3751"/>
    <w:rsid w:val="4E904370"/>
    <w:rsid w:val="4E937763"/>
    <w:rsid w:val="4E9E5BA9"/>
    <w:rsid w:val="4E9F5613"/>
    <w:rsid w:val="4EA9172F"/>
    <w:rsid w:val="4EAC241A"/>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A106E5"/>
    <w:rsid w:val="53A27D95"/>
    <w:rsid w:val="53A911A1"/>
    <w:rsid w:val="53DB35A3"/>
    <w:rsid w:val="53DC2808"/>
    <w:rsid w:val="53DF54A9"/>
    <w:rsid w:val="53E07B00"/>
    <w:rsid w:val="53E27BE1"/>
    <w:rsid w:val="53F90D34"/>
    <w:rsid w:val="54002BFD"/>
    <w:rsid w:val="541942B6"/>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9174E"/>
    <w:rsid w:val="56214A7B"/>
    <w:rsid w:val="562E1F90"/>
    <w:rsid w:val="56373380"/>
    <w:rsid w:val="563B616D"/>
    <w:rsid w:val="56436207"/>
    <w:rsid w:val="565B61BB"/>
    <w:rsid w:val="566510CB"/>
    <w:rsid w:val="567215D4"/>
    <w:rsid w:val="567A6CC0"/>
    <w:rsid w:val="567E4F7B"/>
    <w:rsid w:val="568D0940"/>
    <w:rsid w:val="56902B88"/>
    <w:rsid w:val="56927DA4"/>
    <w:rsid w:val="56A032E3"/>
    <w:rsid w:val="56A04928"/>
    <w:rsid w:val="56A418DC"/>
    <w:rsid w:val="56A50EBB"/>
    <w:rsid w:val="56A83AE3"/>
    <w:rsid w:val="56AB6535"/>
    <w:rsid w:val="56AD339E"/>
    <w:rsid w:val="56B0619F"/>
    <w:rsid w:val="56B16CBD"/>
    <w:rsid w:val="56B96F66"/>
    <w:rsid w:val="56BE75C0"/>
    <w:rsid w:val="56C12AE4"/>
    <w:rsid w:val="56C71CAD"/>
    <w:rsid w:val="56CE5F20"/>
    <w:rsid w:val="56DA3EBA"/>
    <w:rsid w:val="56DE40C5"/>
    <w:rsid w:val="56E33383"/>
    <w:rsid w:val="56E81DBE"/>
    <w:rsid w:val="56ED5E03"/>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A7C07"/>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9148CE"/>
    <w:rsid w:val="59A22883"/>
    <w:rsid w:val="59A24ED6"/>
    <w:rsid w:val="59AF0514"/>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6592"/>
    <w:rsid w:val="5A2D0557"/>
    <w:rsid w:val="5A340B09"/>
    <w:rsid w:val="5A3F3527"/>
    <w:rsid w:val="5A440B9D"/>
    <w:rsid w:val="5A5128C3"/>
    <w:rsid w:val="5A525A46"/>
    <w:rsid w:val="5A575C31"/>
    <w:rsid w:val="5A5C7772"/>
    <w:rsid w:val="5A6336A1"/>
    <w:rsid w:val="5A6B7C88"/>
    <w:rsid w:val="5A73612A"/>
    <w:rsid w:val="5A8F76C1"/>
    <w:rsid w:val="5A9A0A66"/>
    <w:rsid w:val="5AA541CF"/>
    <w:rsid w:val="5AAF48E4"/>
    <w:rsid w:val="5AB96041"/>
    <w:rsid w:val="5ABC4831"/>
    <w:rsid w:val="5ABC6BFA"/>
    <w:rsid w:val="5AC366EB"/>
    <w:rsid w:val="5AC43AE0"/>
    <w:rsid w:val="5AD054B7"/>
    <w:rsid w:val="5AD149C0"/>
    <w:rsid w:val="5AD510F0"/>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A65080"/>
    <w:rsid w:val="5BB214B7"/>
    <w:rsid w:val="5BB576AD"/>
    <w:rsid w:val="5BBE6EBD"/>
    <w:rsid w:val="5BC02787"/>
    <w:rsid w:val="5BC52B9A"/>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BF4297"/>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F0687"/>
    <w:rsid w:val="5E680BE8"/>
    <w:rsid w:val="5E6B7FF0"/>
    <w:rsid w:val="5E783202"/>
    <w:rsid w:val="5E7842EE"/>
    <w:rsid w:val="5E803D55"/>
    <w:rsid w:val="5E854DAE"/>
    <w:rsid w:val="5EA648E2"/>
    <w:rsid w:val="5EB52E6F"/>
    <w:rsid w:val="5EC94A60"/>
    <w:rsid w:val="5ED95EEE"/>
    <w:rsid w:val="5EE55DDE"/>
    <w:rsid w:val="5EF04AC4"/>
    <w:rsid w:val="5EF47473"/>
    <w:rsid w:val="5EFE064F"/>
    <w:rsid w:val="5F061DE5"/>
    <w:rsid w:val="5F09081F"/>
    <w:rsid w:val="5F1111AD"/>
    <w:rsid w:val="5F121A0D"/>
    <w:rsid w:val="5F1B27DE"/>
    <w:rsid w:val="5F2C64A1"/>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821D61"/>
    <w:rsid w:val="63827E36"/>
    <w:rsid w:val="63842477"/>
    <w:rsid w:val="638823F9"/>
    <w:rsid w:val="638B04D2"/>
    <w:rsid w:val="63A85CD1"/>
    <w:rsid w:val="63AB2A39"/>
    <w:rsid w:val="63B02C42"/>
    <w:rsid w:val="63C51AD9"/>
    <w:rsid w:val="63C54411"/>
    <w:rsid w:val="63C733FE"/>
    <w:rsid w:val="63CD27C8"/>
    <w:rsid w:val="63CF2629"/>
    <w:rsid w:val="63D40E51"/>
    <w:rsid w:val="63D85FCA"/>
    <w:rsid w:val="63E263F4"/>
    <w:rsid w:val="63E418C9"/>
    <w:rsid w:val="63FD7654"/>
    <w:rsid w:val="640C2BB6"/>
    <w:rsid w:val="6411454E"/>
    <w:rsid w:val="643F3FFC"/>
    <w:rsid w:val="644A69BC"/>
    <w:rsid w:val="645B5DC0"/>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A65E7D"/>
    <w:rsid w:val="65BC6E17"/>
    <w:rsid w:val="65BD3777"/>
    <w:rsid w:val="65BE5ECC"/>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1571B"/>
    <w:rsid w:val="663D054E"/>
    <w:rsid w:val="66460692"/>
    <w:rsid w:val="6658158E"/>
    <w:rsid w:val="66631FDD"/>
    <w:rsid w:val="66727620"/>
    <w:rsid w:val="667930F9"/>
    <w:rsid w:val="6679372B"/>
    <w:rsid w:val="667B3C56"/>
    <w:rsid w:val="66953491"/>
    <w:rsid w:val="66980BF6"/>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26232E"/>
    <w:rsid w:val="672A4901"/>
    <w:rsid w:val="67331724"/>
    <w:rsid w:val="67346319"/>
    <w:rsid w:val="67441B08"/>
    <w:rsid w:val="674E2802"/>
    <w:rsid w:val="67513E69"/>
    <w:rsid w:val="675A17FE"/>
    <w:rsid w:val="6768655A"/>
    <w:rsid w:val="676E1585"/>
    <w:rsid w:val="67775952"/>
    <w:rsid w:val="677E2FA1"/>
    <w:rsid w:val="67836FB1"/>
    <w:rsid w:val="678A12A7"/>
    <w:rsid w:val="678A44B2"/>
    <w:rsid w:val="678C1D52"/>
    <w:rsid w:val="678D19D7"/>
    <w:rsid w:val="67973403"/>
    <w:rsid w:val="67A67078"/>
    <w:rsid w:val="67AC341B"/>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D23D1"/>
    <w:rsid w:val="6D033EFD"/>
    <w:rsid w:val="6D0A7734"/>
    <w:rsid w:val="6D0B0E35"/>
    <w:rsid w:val="6D0D6D19"/>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702CF5"/>
    <w:rsid w:val="6F7A0C79"/>
    <w:rsid w:val="6F7E1B78"/>
    <w:rsid w:val="6F9C5D71"/>
    <w:rsid w:val="6FA3781E"/>
    <w:rsid w:val="6FAC61CF"/>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4773"/>
    <w:rsid w:val="710524E2"/>
    <w:rsid w:val="710B03C6"/>
    <w:rsid w:val="711604AB"/>
    <w:rsid w:val="712D2ADB"/>
    <w:rsid w:val="712D4159"/>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C688B"/>
    <w:rsid w:val="723749D7"/>
    <w:rsid w:val="724E54F1"/>
    <w:rsid w:val="7254202A"/>
    <w:rsid w:val="727334E4"/>
    <w:rsid w:val="72756082"/>
    <w:rsid w:val="72772DDB"/>
    <w:rsid w:val="727B2E39"/>
    <w:rsid w:val="72827328"/>
    <w:rsid w:val="728B2CA4"/>
    <w:rsid w:val="728B509F"/>
    <w:rsid w:val="728F0A31"/>
    <w:rsid w:val="729A297B"/>
    <w:rsid w:val="72A310CE"/>
    <w:rsid w:val="72B23B41"/>
    <w:rsid w:val="72B751B8"/>
    <w:rsid w:val="72CE3184"/>
    <w:rsid w:val="72CE7D06"/>
    <w:rsid w:val="72D456A5"/>
    <w:rsid w:val="72E70D52"/>
    <w:rsid w:val="72EA6B66"/>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C705A"/>
    <w:rsid w:val="736411CC"/>
    <w:rsid w:val="73690216"/>
    <w:rsid w:val="736A02D8"/>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46840"/>
    <w:rsid w:val="74D575AA"/>
    <w:rsid w:val="74D71DDE"/>
    <w:rsid w:val="74DA7956"/>
    <w:rsid w:val="74E11F86"/>
    <w:rsid w:val="74FB509B"/>
    <w:rsid w:val="74FB6035"/>
    <w:rsid w:val="750934A8"/>
    <w:rsid w:val="750A15E4"/>
    <w:rsid w:val="750C76FA"/>
    <w:rsid w:val="752B3381"/>
    <w:rsid w:val="75325694"/>
    <w:rsid w:val="75376E15"/>
    <w:rsid w:val="75457EFF"/>
    <w:rsid w:val="7554481F"/>
    <w:rsid w:val="75594581"/>
    <w:rsid w:val="755A5494"/>
    <w:rsid w:val="75625A16"/>
    <w:rsid w:val="7564200E"/>
    <w:rsid w:val="75663FD1"/>
    <w:rsid w:val="757540E3"/>
    <w:rsid w:val="75912385"/>
    <w:rsid w:val="759739B3"/>
    <w:rsid w:val="759B02AD"/>
    <w:rsid w:val="759B0C43"/>
    <w:rsid w:val="759B5CAF"/>
    <w:rsid w:val="75A53BC6"/>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F0FBA"/>
    <w:rsid w:val="766314AA"/>
    <w:rsid w:val="76690632"/>
    <w:rsid w:val="767469E2"/>
    <w:rsid w:val="76775F0B"/>
    <w:rsid w:val="767E2DAC"/>
    <w:rsid w:val="76894819"/>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E568E3"/>
    <w:rsid w:val="77EE19D2"/>
    <w:rsid w:val="77F62779"/>
    <w:rsid w:val="78036043"/>
    <w:rsid w:val="7813374F"/>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C539D"/>
    <w:rsid w:val="78C134B0"/>
    <w:rsid w:val="78C64CC0"/>
    <w:rsid w:val="78CD3535"/>
    <w:rsid w:val="78D97F0E"/>
    <w:rsid w:val="78DA009A"/>
    <w:rsid w:val="78DC2FA9"/>
    <w:rsid w:val="78DD4939"/>
    <w:rsid w:val="78E062D1"/>
    <w:rsid w:val="78F40C87"/>
    <w:rsid w:val="78F66B5A"/>
    <w:rsid w:val="78FC7FC2"/>
    <w:rsid w:val="79042DE3"/>
    <w:rsid w:val="790D0BF3"/>
    <w:rsid w:val="790D4F70"/>
    <w:rsid w:val="791474A8"/>
    <w:rsid w:val="79176206"/>
    <w:rsid w:val="79213934"/>
    <w:rsid w:val="79221399"/>
    <w:rsid w:val="7940572D"/>
    <w:rsid w:val="79461391"/>
    <w:rsid w:val="79474814"/>
    <w:rsid w:val="794B4D74"/>
    <w:rsid w:val="79501475"/>
    <w:rsid w:val="79524043"/>
    <w:rsid w:val="795A5499"/>
    <w:rsid w:val="796E35F2"/>
    <w:rsid w:val="7971290E"/>
    <w:rsid w:val="797951A9"/>
    <w:rsid w:val="7990174F"/>
    <w:rsid w:val="79A15149"/>
    <w:rsid w:val="79A37CCA"/>
    <w:rsid w:val="79A71C2E"/>
    <w:rsid w:val="79A74BCA"/>
    <w:rsid w:val="79AE39E9"/>
    <w:rsid w:val="79BD3E41"/>
    <w:rsid w:val="79BF2784"/>
    <w:rsid w:val="79C0597A"/>
    <w:rsid w:val="79C24EDF"/>
    <w:rsid w:val="79C95AED"/>
    <w:rsid w:val="79DF1EBA"/>
    <w:rsid w:val="79E12ED9"/>
    <w:rsid w:val="79E352FF"/>
    <w:rsid w:val="79E9023D"/>
    <w:rsid w:val="79ED6701"/>
    <w:rsid w:val="79EE7E8E"/>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A16CBD"/>
    <w:rsid w:val="7AA5277A"/>
    <w:rsid w:val="7AA952CF"/>
    <w:rsid w:val="7AAE678B"/>
    <w:rsid w:val="7AB07C78"/>
    <w:rsid w:val="7AB514B2"/>
    <w:rsid w:val="7ACA29DF"/>
    <w:rsid w:val="7ACD2D7F"/>
    <w:rsid w:val="7AD27B42"/>
    <w:rsid w:val="7AD53EC1"/>
    <w:rsid w:val="7AD84E14"/>
    <w:rsid w:val="7ADB474B"/>
    <w:rsid w:val="7ADB7F1A"/>
    <w:rsid w:val="7AF9607E"/>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31756"/>
    <w:rsid w:val="7C8C4CAB"/>
    <w:rsid w:val="7C982736"/>
    <w:rsid w:val="7C9E5A24"/>
    <w:rsid w:val="7CA3583F"/>
    <w:rsid w:val="7CA67728"/>
    <w:rsid w:val="7CB62523"/>
    <w:rsid w:val="7CCA5583"/>
    <w:rsid w:val="7CD72F9B"/>
    <w:rsid w:val="7CE146B6"/>
    <w:rsid w:val="7CE65C11"/>
    <w:rsid w:val="7CE70935"/>
    <w:rsid w:val="7CF84A31"/>
    <w:rsid w:val="7CFC44C2"/>
    <w:rsid w:val="7D013B39"/>
    <w:rsid w:val="7D060FAD"/>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C7A63"/>
    <w:rsid w:val="7DD7657D"/>
    <w:rsid w:val="7DDA6C39"/>
    <w:rsid w:val="7DE15552"/>
    <w:rsid w:val="7DE16744"/>
    <w:rsid w:val="7DEB2C44"/>
    <w:rsid w:val="7DF464FC"/>
    <w:rsid w:val="7DFE63E1"/>
    <w:rsid w:val="7E006A11"/>
    <w:rsid w:val="7E1C55F3"/>
    <w:rsid w:val="7E202566"/>
    <w:rsid w:val="7E222965"/>
    <w:rsid w:val="7E2E7D3F"/>
    <w:rsid w:val="7E330B2F"/>
    <w:rsid w:val="7E347694"/>
    <w:rsid w:val="7E3B5911"/>
    <w:rsid w:val="7E495416"/>
    <w:rsid w:val="7E497873"/>
    <w:rsid w:val="7E570488"/>
    <w:rsid w:val="7E573082"/>
    <w:rsid w:val="7E712F31"/>
    <w:rsid w:val="7E750E81"/>
    <w:rsid w:val="7E761EFC"/>
    <w:rsid w:val="7E9044A6"/>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标题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标题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标题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题注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basedOn w:val="23"/>
    <w:link w:val="33"/>
    <w:qFormat/>
    <w:uiPriority w:val="0"/>
    <w:rPr>
      <w:rFonts w:ascii="Arial" w:hAnsi="Arial" w:eastAsia="Times New Roman" w:cs="Times New Roman"/>
      <w:kern w:val="0"/>
      <w:sz w:val="18"/>
      <w:szCs w:val="20"/>
      <w:lang w:val="en-GB" w:eastAsia="ja-JP"/>
    </w:rPr>
  </w:style>
  <w:style w:type="character" w:customStyle="1" w:styleId="73">
    <w:name w:val="标题 4 Char"/>
    <w:link w:val="5"/>
    <w:qFormat/>
    <w:uiPriority w:val="0"/>
    <w:rPr>
      <w:rFonts w:ascii="Arial" w:hAnsi="Arial" w:eastAsia="宋体"/>
      <w:sz w:val="24"/>
      <w:lang w:val="en-GB" w:eastAsia="en-US"/>
    </w:rPr>
  </w:style>
  <w:style w:type="character" w:customStyle="1" w:styleId="74">
    <w:name w:val="批注框文本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页眉 Char"/>
    <w:link w:val="17"/>
    <w:qFormat/>
    <w:uiPriority w:val="99"/>
    <w:rPr>
      <w:sz w:val="18"/>
      <w:szCs w:val="18"/>
    </w:rPr>
  </w:style>
  <w:style w:type="character" w:customStyle="1" w:styleId="77">
    <w:name w:val="文档结构图 Char"/>
    <w:link w:val="12"/>
    <w:semiHidden/>
    <w:qFormat/>
    <w:uiPriority w:val="99"/>
    <w:rPr>
      <w:rFonts w:ascii="宋体" w:eastAsia="宋体"/>
      <w:sz w:val="18"/>
      <w:szCs w:val="18"/>
    </w:rPr>
  </w:style>
  <w:style w:type="character" w:customStyle="1" w:styleId="78">
    <w:name w:val="标题 7 Char"/>
    <w:link w:val="8"/>
    <w:qFormat/>
    <w:uiPriority w:val="0"/>
    <w:rPr>
      <w:rFonts w:ascii="Arial" w:hAnsi="Arial" w:eastAsia="宋体"/>
      <w:lang w:val="en-GB" w:eastAsia="en-US"/>
    </w:rPr>
  </w:style>
  <w:style w:type="character" w:customStyle="1" w:styleId="79">
    <w:name w:val="标题 1 Char"/>
    <w:link w:val="2"/>
    <w:qFormat/>
    <w:uiPriority w:val="9"/>
    <w:rPr>
      <w:rFonts w:ascii="Cambria" w:hAnsi="Cambria" w:eastAsia="宋体" w:cs="Times New Roman"/>
      <w:b/>
      <w:bCs/>
      <w:kern w:val="32"/>
      <w:sz w:val="32"/>
      <w:szCs w:val="32"/>
      <w:lang w:val="en-US"/>
    </w:rPr>
  </w:style>
  <w:style w:type="character" w:customStyle="1" w:styleId="80">
    <w:name w:val="页脚 Char"/>
    <w:link w:val="16"/>
    <w:qFormat/>
    <w:uiPriority w:val="99"/>
    <w:rPr>
      <w:sz w:val="18"/>
      <w:szCs w:val="18"/>
    </w:rPr>
  </w:style>
  <w:style w:type="character" w:customStyle="1" w:styleId="81">
    <w:name w:val="批注主题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标题 2 Char"/>
    <w:link w:val="3"/>
    <w:qFormat/>
    <w:uiPriority w:val="0"/>
    <w:rPr>
      <w:rFonts w:ascii="Arial" w:hAnsi="Arial"/>
      <w:sz w:val="32"/>
      <w:lang w:eastAsia="en-US"/>
    </w:rPr>
  </w:style>
  <w:style w:type="character" w:customStyle="1" w:styleId="84">
    <w:name w:val="标题 5 Char"/>
    <w:link w:val="6"/>
    <w:qFormat/>
    <w:uiPriority w:val="0"/>
    <w:rPr>
      <w:rFonts w:ascii="Arial" w:hAnsi="Arial" w:eastAsia="宋体"/>
      <w:sz w:val="22"/>
      <w:lang w:val="en-GB" w:eastAsia="en-US"/>
    </w:rPr>
  </w:style>
  <w:style w:type="character" w:customStyle="1" w:styleId="85">
    <w:name w:val="标题 3 Char"/>
    <w:link w:val="4"/>
    <w:qFormat/>
    <w:uiPriority w:val="0"/>
    <w:rPr>
      <w:rFonts w:ascii="Arial" w:hAnsi="Arial"/>
      <w:sz w:val="28"/>
      <w:lang w:eastAsia="en-US"/>
    </w:rPr>
  </w:style>
  <w:style w:type="character" w:customStyle="1" w:styleId="86">
    <w:name w:val="批注文字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 w:type="paragraph" w:customStyle="1" w:styleId="89">
    <w:name w:val="3GPP Normal Text"/>
    <w:basedOn w:val="14"/>
    <w:qFormat/>
    <w:uiPriority w:val="0"/>
    <w:pPr>
      <w:spacing w:after="120"/>
      <w:ind w:left="1440" w:hanging="1440"/>
      <w:jc w:val="both"/>
    </w:pPr>
    <w:rPr>
      <w:rFonts w:eastAsia="MS Mincho"/>
      <w:sz w:val="22"/>
      <w:szCs w:val="24"/>
    </w:rPr>
  </w:style>
  <w:style w:type="paragraph" w:customStyle="1" w:styleId="90">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emf"/><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8.png"/><Relationship Id="rId11" Type="http://schemas.openxmlformats.org/officeDocument/2006/relationships/image" Target="media/image7.emf"/><Relationship Id="rId10" Type="http://schemas.openxmlformats.org/officeDocument/2006/relationships/image" Target="media/image6.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1</TotalTime>
  <ScaleCrop>false</ScaleCrop>
  <LinksUpToDate>false</LinksUpToDate>
  <CharactersWithSpaces>13626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2022-08-10T15:38:00Z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